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A59E19" w14:textId="77777777" w:rsidR="009B00EB" w:rsidRPr="009B00EB" w:rsidRDefault="009B00EB" w:rsidP="009B00EB">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ДО</w:t>
      </w:r>
    </w:p>
    <w:p w14:paraId="53AECF31" w14:textId="77777777" w:rsidR="009B00EB" w:rsidRPr="009B00EB" w:rsidRDefault="009B00EB" w:rsidP="009B00EB">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ПРЕДСЕДАТЕЛЯ НА</w:t>
      </w:r>
    </w:p>
    <w:p w14:paraId="744F67C9" w14:textId="77777777" w:rsidR="009B00EB" w:rsidRPr="009B00EB" w:rsidRDefault="009B00EB" w:rsidP="009B00EB">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КОМИСИЯ</w:t>
      </w:r>
    </w:p>
    <w:p w14:paraId="254D73D2" w14:textId="77777777" w:rsidR="009B00EB" w:rsidRPr="009B00EB" w:rsidRDefault="009B00EB" w:rsidP="009B00EB">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ЗА ЕНЕРГИЙНО И ВОДНО РЕГУЛИРАНЕ</w:t>
      </w:r>
    </w:p>
    <w:p w14:paraId="2761050D" w14:textId="77777777" w:rsidR="009B00EB" w:rsidRPr="009B00EB" w:rsidRDefault="009B00EB" w:rsidP="009B00EB">
      <w:pPr>
        <w:spacing w:after="0" w:line="240" w:lineRule="auto"/>
        <w:ind w:left="2832"/>
        <w:rPr>
          <w:rFonts w:ascii="Times New Roman" w:eastAsia="Times New Roman" w:hAnsi="Times New Roman" w:cs="Times New Roman"/>
          <w:b/>
          <w:sz w:val="24"/>
          <w:szCs w:val="24"/>
          <w:lang w:eastAsia="bg-BG"/>
        </w:rPr>
      </w:pPr>
    </w:p>
    <w:p w14:paraId="500B7B52" w14:textId="77777777" w:rsidR="009B00EB" w:rsidRPr="009B00EB" w:rsidRDefault="009B00EB" w:rsidP="009B00EB">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ТЕХНИЧЕСКА И ФИНАНСОВА ОБОСНОВКА КЪМ ЗАЯВЛЕНИЕ ЗА УТВЪРЖДАВА</w:t>
      </w:r>
      <w:r w:rsidR="00712AD1">
        <w:rPr>
          <w:rFonts w:ascii="Times New Roman" w:eastAsia="Times New Roman" w:hAnsi="Times New Roman" w:cs="Times New Roman"/>
          <w:b/>
          <w:sz w:val="24"/>
          <w:szCs w:val="24"/>
          <w:lang w:eastAsia="bg-BG"/>
        </w:rPr>
        <w:t>НЕ НА ЦЕНИ ЗА ПЕРИОДА 01.07.2021</w:t>
      </w:r>
      <w:r w:rsidRPr="009B00EB">
        <w:rPr>
          <w:rFonts w:ascii="Times New Roman" w:eastAsia="Times New Roman" w:hAnsi="Times New Roman" w:cs="Times New Roman"/>
          <w:b/>
          <w:sz w:val="24"/>
          <w:szCs w:val="24"/>
          <w:lang w:eastAsia="bg-BG"/>
        </w:rPr>
        <w:t xml:space="preserve"> - 30.06.202</w:t>
      </w:r>
      <w:r w:rsidR="00712AD1">
        <w:rPr>
          <w:rFonts w:ascii="Times New Roman" w:eastAsia="Times New Roman" w:hAnsi="Times New Roman" w:cs="Times New Roman"/>
          <w:b/>
          <w:sz w:val="24"/>
          <w:szCs w:val="24"/>
          <w:lang w:eastAsia="bg-BG"/>
        </w:rPr>
        <w:t>2</w:t>
      </w:r>
      <w:r w:rsidRPr="009B00EB">
        <w:rPr>
          <w:rFonts w:ascii="Times New Roman" w:eastAsia="Times New Roman" w:hAnsi="Times New Roman" w:cs="Times New Roman"/>
          <w:b/>
          <w:sz w:val="24"/>
          <w:szCs w:val="24"/>
          <w:lang w:eastAsia="bg-BG"/>
        </w:rPr>
        <w:t xml:space="preserve"> г., </w:t>
      </w:r>
    </w:p>
    <w:p w14:paraId="6386CA16" w14:textId="77777777" w:rsidR="009B00EB" w:rsidRPr="009B00EB" w:rsidRDefault="009B00EB" w:rsidP="009B00EB">
      <w:pPr>
        <w:spacing w:after="0" w:line="240" w:lineRule="auto"/>
        <w:ind w:left="2832"/>
        <w:rPr>
          <w:rFonts w:ascii="Times New Roman" w:eastAsia="Times New Roman" w:hAnsi="Times New Roman" w:cs="Times New Roman"/>
          <w:b/>
          <w:sz w:val="24"/>
          <w:szCs w:val="24"/>
          <w:lang w:eastAsia="bg-BG"/>
        </w:rPr>
      </w:pPr>
    </w:p>
    <w:p w14:paraId="45038AE7" w14:textId="77777777" w:rsidR="009B00EB" w:rsidRPr="009B00EB" w:rsidRDefault="009B00EB" w:rsidP="009B00EB">
      <w:pPr>
        <w:spacing w:after="0" w:line="240" w:lineRule="auto"/>
        <w:ind w:left="2832"/>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 xml:space="preserve">ФИНАНСОВА ОБОСНОВКА НА ИСКАНЕ ЗА ПРИЗНАВАНЕ НА РАЗХОДИ НА ОСНОВАНИЕ ЧЛ. 35, АЛ. 2 ОТ ЗАКОНА ЗА ЕНЕРГЕТИКАТА </w:t>
      </w:r>
    </w:p>
    <w:p w14:paraId="33F4A2C0"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p>
    <w:p w14:paraId="4B1469A1" w14:textId="25CB3086"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 xml:space="preserve">от </w:t>
      </w:r>
      <w:r w:rsidR="002C415C" w:rsidRPr="009B00EB">
        <w:rPr>
          <w:rFonts w:ascii="Times New Roman" w:eastAsia="Times New Roman" w:hAnsi="Times New Roman" w:cs="Times New Roman"/>
          <w:sz w:val="24"/>
          <w:szCs w:val="24"/>
          <w:lang w:eastAsia="bg-BG"/>
        </w:rPr>
        <w:t>„</w:t>
      </w:r>
      <w:r w:rsidRPr="009B00EB">
        <w:rPr>
          <w:rFonts w:ascii="Times New Roman" w:eastAsia="Times New Roman" w:hAnsi="Times New Roman" w:cs="Times New Roman"/>
          <w:sz w:val="24"/>
          <w:szCs w:val="24"/>
          <w:lang w:eastAsia="bg-BG"/>
        </w:rPr>
        <w:t>ТЕЦ Марица изток 2” ЕАД</w:t>
      </w:r>
    </w:p>
    <w:p w14:paraId="69252312"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със седалище и адрес:</w:t>
      </w:r>
    </w:p>
    <w:p w14:paraId="50BF64B8"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 xml:space="preserve">село Ковачево, </w:t>
      </w:r>
      <w:proofErr w:type="spellStart"/>
      <w:r w:rsidRPr="009B00EB">
        <w:rPr>
          <w:rFonts w:ascii="Times New Roman" w:eastAsia="Times New Roman" w:hAnsi="Times New Roman" w:cs="Times New Roman"/>
          <w:sz w:val="24"/>
          <w:szCs w:val="24"/>
          <w:lang w:eastAsia="bg-BG"/>
        </w:rPr>
        <w:t>п.код</w:t>
      </w:r>
      <w:proofErr w:type="spellEnd"/>
      <w:r w:rsidRPr="009B00EB">
        <w:rPr>
          <w:rFonts w:ascii="Times New Roman" w:eastAsia="Times New Roman" w:hAnsi="Times New Roman" w:cs="Times New Roman"/>
          <w:sz w:val="24"/>
          <w:szCs w:val="24"/>
          <w:lang w:eastAsia="bg-BG"/>
        </w:rPr>
        <w:t xml:space="preserve"> 6265, община Раднево,</w:t>
      </w:r>
    </w:p>
    <w:p w14:paraId="5987D85C" w14:textId="4AD38DDF"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област Стара Загора</w:t>
      </w:r>
      <w:r w:rsidR="005B5BC0">
        <w:rPr>
          <w:rFonts w:ascii="Times New Roman" w:eastAsia="Times New Roman" w:hAnsi="Times New Roman" w:cs="Times New Roman"/>
          <w:sz w:val="24"/>
          <w:szCs w:val="24"/>
          <w:lang w:eastAsia="bg-BG"/>
        </w:rPr>
        <w:t>2</w:t>
      </w:r>
    </w:p>
    <w:p w14:paraId="4B842261"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Фирмено дело № 1338/ 2000 година</w:t>
      </w:r>
    </w:p>
    <w:p w14:paraId="2727BEBA"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по описа на Старозагорски окръжен съд</w:t>
      </w:r>
    </w:p>
    <w:p w14:paraId="3ACCB718"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ЕИК  123531939</w:t>
      </w:r>
    </w:p>
    <w:p w14:paraId="5A98DF2C" w14:textId="241862F7" w:rsidR="009B00EB" w:rsidRPr="001C046C" w:rsidRDefault="002E4B29" w:rsidP="009B00EB">
      <w:pPr>
        <w:spacing w:after="0" w:line="240" w:lineRule="auto"/>
        <w:ind w:left="2832"/>
        <w:rPr>
          <w:rFonts w:ascii="Times New Roman" w:eastAsia="Times New Roman" w:hAnsi="Times New Roman" w:cs="Times New Roman"/>
          <w:sz w:val="24"/>
          <w:szCs w:val="24"/>
          <w:lang w:eastAsia="bg-BG"/>
        </w:rPr>
      </w:pPr>
      <w:r w:rsidRPr="002E4B29">
        <w:rPr>
          <w:rFonts w:ascii="Times New Roman" w:eastAsia="Times New Roman" w:hAnsi="Times New Roman" w:cs="Times New Roman"/>
          <w:sz w:val="24"/>
          <w:szCs w:val="24"/>
          <w:lang w:val="en-US" w:eastAsia="bg-BG"/>
        </w:rPr>
        <w:t>IBAN BGN:</w:t>
      </w:r>
      <w:r w:rsidR="002C415C">
        <w:rPr>
          <w:rFonts w:ascii="Times New Roman" w:eastAsia="Times New Roman" w:hAnsi="Times New Roman" w:cs="Times New Roman"/>
          <w:sz w:val="24"/>
          <w:szCs w:val="24"/>
          <w:lang w:eastAsia="bg-BG"/>
        </w:rPr>
        <w:t xml:space="preserve"> </w:t>
      </w:r>
      <w:r w:rsidR="001C046C">
        <w:rPr>
          <w:rFonts w:ascii="Times New Roman" w:eastAsia="Times New Roman" w:hAnsi="Times New Roman" w:cs="Times New Roman"/>
          <w:sz w:val="24"/>
          <w:szCs w:val="24"/>
          <w:lang w:eastAsia="bg-BG"/>
        </w:rPr>
        <w:t>…………………</w:t>
      </w:r>
      <w:r w:rsidR="002C415C">
        <w:rPr>
          <w:rFonts w:ascii="Times New Roman" w:eastAsia="Times New Roman" w:hAnsi="Times New Roman" w:cs="Times New Roman"/>
          <w:sz w:val="24"/>
          <w:szCs w:val="24"/>
          <w:lang w:eastAsia="bg-BG"/>
        </w:rPr>
        <w:t>;</w:t>
      </w:r>
      <w:r w:rsidR="009B00EB" w:rsidRPr="009B00EB">
        <w:rPr>
          <w:rFonts w:ascii="Times New Roman" w:eastAsia="Times New Roman" w:hAnsi="Times New Roman" w:cs="Times New Roman"/>
          <w:sz w:val="24"/>
          <w:szCs w:val="24"/>
          <w:lang w:eastAsia="bg-BG"/>
        </w:rPr>
        <w:t xml:space="preserve">   </w:t>
      </w:r>
      <w:r w:rsidR="009B00EB" w:rsidRPr="009B00EB">
        <w:rPr>
          <w:rFonts w:ascii="Times New Roman" w:eastAsia="Times New Roman" w:hAnsi="Times New Roman" w:cs="Times New Roman"/>
          <w:sz w:val="24"/>
          <w:szCs w:val="24"/>
          <w:lang w:val="en-US" w:eastAsia="bg-BG"/>
        </w:rPr>
        <w:t>BIC</w:t>
      </w:r>
      <w:r w:rsidR="009B00EB" w:rsidRPr="009B00EB">
        <w:rPr>
          <w:rFonts w:ascii="Times New Roman" w:eastAsia="Times New Roman" w:hAnsi="Times New Roman" w:cs="Times New Roman"/>
          <w:sz w:val="24"/>
          <w:szCs w:val="24"/>
          <w:lang w:eastAsia="bg-BG"/>
        </w:rPr>
        <w:t xml:space="preserve">: </w:t>
      </w:r>
      <w:r w:rsidR="001C046C">
        <w:rPr>
          <w:rFonts w:ascii="Times New Roman" w:eastAsia="Times New Roman" w:hAnsi="Times New Roman" w:cs="Times New Roman"/>
          <w:sz w:val="24"/>
          <w:szCs w:val="24"/>
          <w:lang w:eastAsia="bg-BG"/>
        </w:rPr>
        <w:t>……………….</w:t>
      </w:r>
    </w:p>
    <w:p w14:paraId="35B67174" w14:textId="6061BD9A"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 xml:space="preserve">при </w:t>
      </w:r>
      <w:r w:rsidR="001C046C">
        <w:rPr>
          <w:rFonts w:ascii="Times New Roman" w:eastAsia="Times New Roman" w:hAnsi="Times New Roman" w:cs="Times New Roman"/>
          <w:sz w:val="24"/>
          <w:szCs w:val="24"/>
          <w:lang w:eastAsia="bg-BG"/>
        </w:rPr>
        <w:t>………………………..</w:t>
      </w:r>
    </w:p>
    <w:p w14:paraId="332B3A25"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телефон: 042/662 215 факс: 042/662 000</w:t>
      </w:r>
    </w:p>
    <w:p w14:paraId="1C627077"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proofErr w:type="gramStart"/>
      <w:r w:rsidRPr="009B00EB">
        <w:rPr>
          <w:rFonts w:ascii="Times New Roman" w:eastAsia="Times New Roman" w:hAnsi="Times New Roman" w:cs="Times New Roman"/>
          <w:sz w:val="24"/>
          <w:szCs w:val="24"/>
          <w:lang w:val="en-US" w:eastAsia="bg-BG"/>
        </w:rPr>
        <w:t>e</w:t>
      </w:r>
      <w:r w:rsidRPr="009B00EB">
        <w:rPr>
          <w:rFonts w:ascii="Times New Roman" w:eastAsia="Times New Roman" w:hAnsi="Times New Roman" w:cs="Times New Roman"/>
          <w:sz w:val="24"/>
          <w:szCs w:val="24"/>
          <w:lang w:val="ru-RU" w:eastAsia="bg-BG"/>
        </w:rPr>
        <w:t>-</w:t>
      </w:r>
      <w:r w:rsidRPr="009B00EB">
        <w:rPr>
          <w:rFonts w:ascii="Times New Roman" w:eastAsia="Times New Roman" w:hAnsi="Times New Roman" w:cs="Times New Roman"/>
          <w:sz w:val="24"/>
          <w:szCs w:val="24"/>
          <w:lang w:val="en-US" w:eastAsia="bg-BG"/>
        </w:rPr>
        <w:t>mail</w:t>
      </w:r>
      <w:proofErr w:type="gramEnd"/>
      <w:r w:rsidRPr="009B00EB">
        <w:rPr>
          <w:rFonts w:ascii="Times New Roman" w:eastAsia="Times New Roman" w:hAnsi="Times New Roman" w:cs="Times New Roman"/>
          <w:sz w:val="24"/>
          <w:szCs w:val="24"/>
          <w:lang w:val="ru-RU" w:eastAsia="bg-BG"/>
        </w:rPr>
        <w:t xml:space="preserve"> </w:t>
      </w:r>
      <w:hyperlink r:id="rId8" w:history="1">
        <w:r w:rsidRPr="009B00EB">
          <w:rPr>
            <w:rFonts w:ascii="Times New Roman" w:eastAsia="Times New Roman" w:hAnsi="Times New Roman" w:cs="Times New Roman"/>
            <w:color w:val="0000FF"/>
            <w:sz w:val="24"/>
            <w:szCs w:val="24"/>
            <w:u w:val="single"/>
            <w:lang w:val="en-US" w:eastAsia="bg-BG"/>
          </w:rPr>
          <w:t>tec</w:t>
        </w:r>
        <w:r w:rsidRPr="009B00EB">
          <w:rPr>
            <w:rFonts w:ascii="Times New Roman" w:eastAsia="Times New Roman" w:hAnsi="Times New Roman" w:cs="Times New Roman"/>
            <w:color w:val="0000FF"/>
            <w:sz w:val="24"/>
            <w:szCs w:val="24"/>
            <w:u w:val="single"/>
            <w:lang w:val="ru-RU" w:eastAsia="bg-BG"/>
          </w:rPr>
          <w:t>2@</w:t>
        </w:r>
        <w:r w:rsidRPr="009B00EB">
          <w:rPr>
            <w:rFonts w:ascii="Times New Roman" w:eastAsia="Times New Roman" w:hAnsi="Times New Roman" w:cs="Times New Roman"/>
            <w:color w:val="0000FF"/>
            <w:sz w:val="24"/>
            <w:szCs w:val="24"/>
            <w:u w:val="single"/>
            <w:lang w:val="en-US" w:eastAsia="bg-BG"/>
          </w:rPr>
          <w:t>tpp</w:t>
        </w:r>
        <w:r w:rsidRPr="009B00EB">
          <w:rPr>
            <w:rFonts w:ascii="Times New Roman" w:eastAsia="Times New Roman" w:hAnsi="Times New Roman" w:cs="Times New Roman"/>
            <w:color w:val="0000FF"/>
            <w:sz w:val="24"/>
            <w:szCs w:val="24"/>
            <w:u w:val="single"/>
            <w:lang w:val="ru-RU" w:eastAsia="bg-BG"/>
          </w:rPr>
          <w:t>2.</w:t>
        </w:r>
        <w:r w:rsidRPr="009B00EB">
          <w:rPr>
            <w:rFonts w:ascii="Times New Roman" w:eastAsia="Times New Roman" w:hAnsi="Times New Roman" w:cs="Times New Roman"/>
            <w:color w:val="0000FF"/>
            <w:sz w:val="24"/>
            <w:szCs w:val="24"/>
            <w:u w:val="single"/>
            <w:lang w:val="en-US" w:eastAsia="bg-BG"/>
          </w:rPr>
          <w:t>com</w:t>
        </w:r>
      </w:hyperlink>
    </w:p>
    <w:p w14:paraId="0781429A"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притежаващо лицензия № Л-091-01/21.02.2001 год.</w:t>
      </w:r>
    </w:p>
    <w:p w14:paraId="04E4B85C"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 xml:space="preserve">за производство на електрическа енергия </w:t>
      </w:r>
    </w:p>
    <w:p w14:paraId="55814D8E" w14:textId="47592F46"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със срок от 20 /двадесет/ години,</w:t>
      </w:r>
      <w:r w:rsidR="002E4B29">
        <w:rPr>
          <w:rFonts w:ascii="Times New Roman" w:eastAsia="Times New Roman" w:hAnsi="Times New Roman" w:cs="Times New Roman"/>
          <w:sz w:val="24"/>
          <w:szCs w:val="24"/>
          <w:lang w:eastAsia="bg-BG"/>
        </w:rPr>
        <w:t xml:space="preserve"> </w:t>
      </w:r>
      <w:r w:rsidR="002E4B29" w:rsidRPr="002E4B29">
        <w:rPr>
          <w:rFonts w:ascii="Times New Roman" w:eastAsia="Times New Roman" w:hAnsi="Times New Roman" w:cs="Times New Roman"/>
          <w:sz w:val="24"/>
          <w:szCs w:val="24"/>
          <w:lang w:eastAsia="bg-BG"/>
        </w:rPr>
        <w:t>като нейния срок беше продължен с 20 (двадесет) години съгласно Решение № И1-Л-091 от 02.07.2020 г.</w:t>
      </w:r>
    </w:p>
    <w:p w14:paraId="5C8919E6" w14:textId="77777777" w:rsidR="009B00EB" w:rsidRPr="009B00EB" w:rsidRDefault="009B00EB" w:rsidP="009B00EB">
      <w:pPr>
        <w:spacing w:after="0" w:line="240" w:lineRule="auto"/>
        <w:ind w:left="2832"/>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представлявано от инж. Живко Димитров Динчев - Изпълнителен директор</w:t>
      </w:r>
    </w:p>
    <w:p w14:paraId="12B37A2E" w14:textId="77777777" w:rsidR="009B00EB" w:rsidRPr="009B00EB" w:rsidRDefault="009B00EB" w:rsidP="009B00EB">
      <w:pPr>
        <w:spacing w:after="0" w:line="240" w:lineRule="auto"/>
        <w:rPr>
          <w:rFonts w:ascii="Times New Roman" w:eastAsia="Times New Roman" w:hAnsi="Times New Roman" w:cs="Times New Roman"/>
          <w:b/>
          <w:sz w:val="24"/>
          <w:szCs w:val="24"/>
          <w:lang w:eastAsia="bg-BG"/>
        </w:rPr>
      </w:pPr>
    </w:p>
    <w:p w14:paraId="0A62E03A" w14:textId="77777777" w:rsidR="009B00EB" w:rsidRPr="009B00EB" w:rsidRDefault="009B00EB" w:rsidP="009B00EB">
      <w:pPr>
        <w:spacing w:after="0" w:line="240" w:lineRule="auto"/>
        <w:rPr>
          <w:rFonts w:ascii="Times New Roman" w:eastAsia="Times New Roman" w:hAnsi="Times New Roman" w:cs="Times New Roman"/>
          <w:b/>
          <w:sz w:val="24"/>
          <w:szCs w:val="24"/>
          <w:lang w:eastAsia="bg-BG"/>
        </w:rPr>
      </w:pPr>
    </w:p>
    <w:p w14:paraId="0E40B650" w14:textId="77777777" w:rsidR="009B00EB" w:rsidRPr="009B00EB" w:rsidRDefault="009B00EB" w:rsidP="009B00EB">
      <w:pPr>
        <w:spacing w:after="0" w:line="240" w:lineRule="auto"/>
        <w:rPr>
          <w:rFonts w:ascii="Times New Roman" w:eastAsia="Times New Roman" w:hAnsi="Times New Roman" w:cs="Times New Roman"/>
          <w:b/>
          <w:sz w:val="24"/>
          <w:szCs w:val="24"/>
          <w:lang w:eastAsia="bg-BG"/>
        </w:rPr>
      </w:pPr>
      <w:r w:rsidRPr="009B00EB">
        <w:rPr>
          <w:rFonts w:ascii="Times New Roman" w:eastAsia="Times New Roman" w:hAnsi="Times New Roman" w:cs="Times New Roman"/>
          <w:b/>
          <w:sz w:val="24"/>
          <w:szCs w:val="24"/>
          <w:lang w:eastAsia="bg-BG"/>
        </w:rPr>
        <w:t>УВАЖАЕМИ ГОСПОДИН ПРЕДСЕДАТЕЛ,</w:t>
      </w:r>
    </w:p>
    <w:p w14:paraId="639ED91A" w14:textId="77777777" w:rsidR="009B00EB" w:rsidRDefault="009B00EB" w:rsidP="001365A2">
      <w:pPr>
        <w:spacing w:after="120" w:line="240" w:lineRule="auto"/>
        <w:jc w:val="both"/>
        <w:rPr>
          <w:rFonts w:ascii="Times New Roman" w:eastAsia="Times New Roman" w:hAnsi="Times New Roman" w:cs="Times New Roman"/>
          <w:sz w:val="24"/>
          <w:szCs w:val="24"/>
          <w:lang w:eastAsia="bg-BG"/>
        </w:rPr>
      </w:pPr>
    </w:p>
    <w:p w14:paraId="5FFBA391" w14:textId="77777777" w:rsidR="009B00EB" w:rsidRPr="009B00EB" w:rsidRDefault="009B00EB" w:rsidP="001365A2">
      <w:pPr>
        <w:spacing w:after="120" w:line="240" w:lineRule="auto"/>
        <w:jc w:val="both"/>
        <w:rPr>
          <w:rFonts w:ascii="Times New Roman" w:eastAsia="Times New Roman" w:hAnsi="Times New Roman" w:cs="Times New Roman"/>
          <w:sz w:val="24"/>
          <w:szCs w:val="24"/>
          <w:lang w:eastAsia="bg-BG"/>
        </w:rPr>
      </w:pPr>
      <w:r w:rsidRPr="009B00EB">
        <w:rPr>
          <w:rFonts w:ascii="Times New Roman" w:eastAsia="Times New Roman" w:hAnsi="Times New Roman" w:cs="Times New Roman"/>
          <w:sz w:val="24"/>
          <w:szCs w:val="24"/>
          <w:lang w:eastAsia="bg-BG"/>
        </w:rPr>
        <w:t>„ТЕЦ Марица изток 2“ ЕАД  изготви предложение за участие на централата с определена „квота“ в регулирания ценови микс на обществения доставчик, както и искане за компенс</w:t>
      </w:r>
      <w:r>
        <w:rPr>
          <w:rFonts w:ascii="Times New Roman" w:eastAsia="Times New Roman" w:hAnsi="Times New Roman" w:cs="Times New Roman"/>
          <w:sz w:val="24"/>
          <w:szCs w:val="24"/>
          <w:lang w:eastAsia="bg-BG"/>
        </w:rPr>
        <w:t xml:space="preserve">ация на основание чл. 35 </w:t>
      </w:r>
      <w:r w:rsidRPr="009B00EB">
        <w:rPr>
          <w:rFonts w:ascii="Times New Roman" w:eastAsia="Times New Roman" w:hAnsi="Times New Roman" w:cs="Times New Roman"/>
          <w:sz w:val="24"/>
          <w:szCs w:val="24"/>
          <w:lang w:eastAsia="bg-BG"/>
        </w:rPr>
        <w:t xml:space="preserve">от Закона за енергетиката, за разходи произтичащи от наложени задължения към обществото за поддържане на съоръжения, представляващи критична инфраструктура, във връзка с което представяме настоящата технико-икономическа обосновка за разглеждане от КЕВР. </w:t>
      </w:r>
    </w:p>
    <w:p w14:paraId="53BEEBCF" w14:textId="77777777" w:rsidR="009B00EB" w:rsidRPr="009B00EB" w:rsidRDefault="009B00EB" w:rsidP="001365A2">
      <w:pPr>
        <w:spacing w:after="120" w:line="240" w:lineRule="auto"/>
        <w:jc w:val="both"/>
        <w:rPr>
          <w:rFonts w:ascii="Times New Roman" w:eastAsia="Times New Roman" w:hAnsi="Times New Roman" w:cs="Times New Roman"/>
          <w:sz w:val="24"/>
          <w:szCs w:val="24"/>
          <w:lang w:eastAsia="bg-BG"/>
        </w:rPr>
      </w:pPr>
    </w:p>
    <w:p w14:paraId="5E6940E2" w14:textId="77777777" w:rsidR="009B00EB" w:rsidRPr="009B00EB" w:rsidRDefault="009B00EB" w:rsidP="001365A2">
      <w:pPr>
        <w:numPr>
          <w:ilvl w:val="0"/>
          <w:numId w:val="1"/>
        </w:numPr>
        <w:spacing w:after="120" w:line="240" w:lineRule="auto"/>
        <w:contextualSpacing/>
        <w:jc w:val="both"/>
        <w:rPr>
          <w:rFonts w:ascii="Times New Roman" w:eastAsia="Times New Roman" w:hAnsi="Times New Roman" w:cs="Times New Roman"/>
          <w:b/>
          <w:sz w:val="28"/>
          <w:szCs w:val="28"/>
          <w:lang w:eastAsia="bg-BG"/>
        </w:rPr>
      </w:pPr>
      <w:r w:rsidRPr="009B00EB">
        <w:rPr>
          <w:rFonts w:ascii="Times New Roman" w:eastAsia="Times New Roman" w:hAnsi="Times New Roman" w:cs="Times New Roman"/>
          <w:b/>
          <w:sz w:val="28"/>
          <w:szCs w:val="28"/>
          <w:lang w:eastAsia="bg-BG"/>
        </w:rPr>
        <w:t xml:space="preserve">Цена за </w:t>
      </w:r>
      <w:r>
        <w:rPr>
          <w:rFonts w:ascii="Times New Roman" w:eastAsia="Times New Roman" w:hAnsi="Times New Roman" w:cs="Times New Roman"/>
          <w:b/>
          <w:sz w:val="28"/>
          <w:szCs w:val="28"/>
          <w:lang w:eastAsia="bg-BG"/>
        </w:rPr>
        <w:t>енергия</w:t>
      </w:r>
    </w:p>
    <w:p w14:paraId="06EB1265" w14:textId="77777777" w:rsidR="009B00EB" w:rsidRPr="009B00EB" w:rsidRDefault="009B00EB" w:rsidP="001365A2">
      <w:pPr>
        <w:spacing w:after="120" w:line="240" w:lineRule="auto"/>
        <w:jc w:val="both"/>
        <w:rPr>
          <w:rFonts w:ascii="Times New Roman" w:eastAsia="Times New Roman" w:hAnsi="Times New Roman" w:cs="Times New Roman"/>
          <w:sz w:val="24"/>
          <w:szCs w:val="24"/>
          <w:lang w:eastAsia="bg-BG"/>
        </w:rPr>
      </w:pPr>
    </w:p>
    <w:p w14:paraId="032D5C93" w14:textId="035324A3" w:rsidR="0047547E" w:rsidRDefault="009B00EB" w:rsidP="001365A2">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С</w:t>
      </w:r>
      <w:r w:rsidR="00887176">
        <w:rPr>
          <w:rFonts w:ascii="Times New Roman" w:eastAsia="Times New Roman" w:hAnsi="Times New Roman" w:cs="Times New Roman"/>
          <w:sz w:val="24"/>
          <w:szCs w:val="24"/>
          <w:lang w:eastAsia="bg-BG"/>
        </w:rPr>
        <w:t xml:space="preserve"> Решение № Ц – 2</w:t>
      </w:r>
      <w:r>
        <w:rPr>
          <w:rFonts w:ascii="Times New Roman" w:eastAsia="Times New Roman" w:hAnsi="Times New Roman" w:cs="Times New Roman"/>
          <w:sz w:val="24"/>
          <w:szCs w:val="24"/>
          <w:lang w:eastAsia="bg-BG"/>
        </w:rPr>
        <w:t>9</w:t>
      </w:r>
      <w:r w:rsidR="00887176">
        <w:rPr>
          <w:rFonts w:ascii="Times New Roman" w:eastAsia="Times New Roman" w:hAnsi="Times New Roman" w:cs="Times New Roman"/>
          <w:sz w:val="24"/>
          <w:szCs w:val="24"/>
          <w:lang w:eastAsia="bg-BG"/>
        </w:rPr>
        <w:t xml:space="preserve"> от 01.07.2020</w:t>
      </w:r>
      <w:r>
        <w:rPr>
          <w:rFonts w:ascii="Times New Roman" w:eastAsia="Times New Roman" w:hAnsi="Times New Roman" w:cs="Times New Roman"/>
          <w:sz w:val="24"/>
          <w:szCs w:val="24"/>
          <w:lang w:eastAsia="bg-BG"/>
        </w:rPr>
        <w:t xml:space="preserve"> г. изчислената от КЕВР </w:t>
      </w:r>
      <w:proofErr w:type="spellStart"/>
      <w:r w:rsidRPr="009B00EB">
        <w:rPr>
          <w:rFonts w:ascii="Times New Roman" w:eastAsia="Times New Roman" w:hAnsi="Times New Roman" w:cs="Times New Roman"/>
          <w:sz w:val="24"/>
          <w:szCs w:val="24"/>
          <w:lang w:eastAsia="bg-BG"/>
        </w:rPr>
        <w:t>еднокомпонентна</w:t>
      </w:r>
      <w:proofErr w:type="spellEnd"/>
      <w:r w:rsidRPr="009B00EB">
        <w:rPr>
          <w:rFonts w:ascii="Times New Roman" w:eastAsia="Times New Roman" w:hAnsi="Times New Roman" w:cs="Times New Roman"/>
          <w:sz w:val="24"/>
          <w:szCs w:val="24"/>
          <w:lang w:eastAsia="bg-BG"/>
        </w:rPr>
        <w:t xml:space="preserve"> цена за електрическа енергия на „ТЕЦ Марица изток 2“ ЕАД е в размер на </w:t>
      </w:r>
      <w:r w:rsidR="00887176" w:rsidRPr="003F5611">
        <w:rPr>
          <w:rFonts w:ascii="Times New Roman" w:eastAsia="Times New Roman" w:hAnsi="Times New Roman" w:cs="Times New Roman"/>
          <w:b/>
          <w:bCs/>
          <w:sz w:val="24"/>
          <w:szCs w:val="24"/>
          <w:lang w:eastAsia="bg-BG"/>
        </w:rPr>
        <w:t>135,95</w:t>
      </w:r>
      <w:r w:rsidRPr="009B00EB">
        <w:rPr>
          <w:rFonts w:ascii="Times New Roman" w:eastAsia="Times New Roman" w:hAnsi="Times New Roman" w:cs="Times New Roman"/>
          <w:b/>
          <w:sz w:val="24"/>
          <w:szCs w:val="24"/>
          <w:lang w:eastAsia="bg-BG"/>
        </w:rPr>
        <w:t xml:space="preserve"> лв./</w:t>
      </w:r>
      <w:proofErr w:type="spellStart"/>
      <w:r w:rsidRPr="009B00EB">
        <w:rPr>
          <w:rFonts w:ascii="Times New Roman" w:eastAsia="Times New Roman" w:hAnsi="Times New Roman" w:cs="Times New Roman"/>
          <w:b/>
          <w:sz w:val="24"/>
          <w:szCs w:val="24"/>
          <w:lang w:eastAsia="bg-BG"/>
        </w:rPr>
        <w:t>MWh</w:t>
      </w:r>
      <w:proofErr w:type="spellEnd"/>
      <w:r w:rsidRPr="009B00EB">
        <w:rPr>
          <w:rFonts w:ascii="Times New Roman" w:eastAsia="Times New Roman" w:hAnsi="Times New Roman" w:cs="Times New Roman"/>
          <w:b/>
          <w:sz w:val="24"/>
          <w:szCs w:val="24"/>
          <w:lang w:eastAsia="bg-BG"/>
        </w:rPr>
        <w:t xml:space="preserve">, без </w:t>
      </w:r>
      <w:r w:rsidRPr="009B00EB">
        <w:rPr>
          <w:rFonts w:ascii="Times New Roman" w:eastAsia="Times New Roman" w:hAnsi="Times New Roman" w:cs="Times New Roman"/>
          <w:b/>
          <w:sz w:val="24"/>
          <w:szCs w:val="24"/>
          <w:lang w:eastAsia="bg-BG"/>
        </w:rPr>
        <w:lastRenderedPageBreak/>
        <w:t>ДДС</w:t>
      </w:r>
      <w:r w:rsidRPr="009B00EB">
        <w:rPr>
          <w:rFonts w:ascii="Times New Roman" w:eastAsia="Times New Roman" w:hAnsi="Times New Roman" w:cs="Times New Roman"/>
          <w:sz w:val="24"/>
          <w:szCs w:val="24"/>
          <w:lang w:eastAsia="bg-BG"/>
        </w:rPr>
        <w:t>, при общо необходими</w:t>
      </w:r>
      <w:r>
        <w:rPr>
          <w:rFonts w:ascii="Times New Roman" w:eastAsia="Times New Roman" w:hAnsi="Times New Roman" w:cs="Times New Roman"/>
          <w:sz w:val="24"/>
          <w:szCs w:val="24"/>
          <w:lang w:eastAsia="bg-BG"/>
        </w:rPr>
        <w:t xml:space="preserve"> </w:t>
      </w:r>
      <w:r w:rsidR="00887176">
        <w:rPr>
          <w:rFonts w:ascii="Times New Roman" w:eastAsia="Times New Roman" w:hAnsi="Times New Roman" w:cs="Times New Roman"/>
          <w:sz w:val="24"/>
          <w:szCs w:val="24"/>
          <w:lang w:eastAsia="bg-BG"/>
        </w:rPr>
        <w:t>приходи от 1 008 228</w:t>
      </w:r>
      <w:r w:rsidRPr="009B00EB">
        <w:rPr>
          <w:rFonts w:ascii="Times New Roman" w:eastAsia="Times New Roman" w:hAnsi="Times New Roman" w:cs="Times New Roman"/>
          <w:sz w:val="24"/>
          <w:szCs w:val="24"/>
          <w:lang w:eastAsia="bg-BG"/>
        </w:rPr>
        <w:t xml:space="preserve"> хил. лв. и нетна </w:t>
      </w:r>
      <w:r w:rsidR="00887176">
        <w:rPr>
          <w:rFonts w:ascii="Times New Roman" w:eastAsia="Times New Roman" w:hAnsi="Times New Roman" w:cs="Times New Roman"/>
          <w:sz w:val="24"/>
          <w:szCs w:val="24"/>
          <w:lang w:eastAsia="bg-BG"/>
        </w:rPr>
        <w:t>електрическа енергия – 7 416 175</w:t>
      </w:r>
      <w:r w:rsidRPr="009B00EB">
        <w:rPr>
          <w:rFonts w:ascii="Times New Roman" w:eastAsia="Times New Roman" w:hAnsi="Times New Roman" w:cs="Times New Roman"/>
          <w:sz w:val="24"/>
          <w:szCs w:val="24"/>
          <w:lang w:eastAsia="bg-BG"/>
        </w:rPr>
        <w:t xml:space="preserve"> </w:t>
      </w:r>
      <w:proofErr w:type="spellStart"/>
      <w:r w:rsidRPr="009B00EB">
        <w:rPr>
          <w:rFonts w:ascii="Times New Roman" w:eastAsia="Times New Roman" w:hAnsi="Times New Roman" w:cs="Times New Roman"/>
          <w:sz w:val="24"/>
          <w:szCs w:val="24"/>
          <w:lang w:eastAsia="bg-BG"/>
        </w:rPr>
        <w:t>MWh</w:t>
      </w:r>
      <w:proofErr w:type="spellEnd"/>
      <w:r>
        <w:rPr>
          <w:rFonts w:ascii="Times New Roman" w:eastAsia="Times New Roman" w:hAnsi="Times New Roman" w:cs="Times New Roman"/>
          <w:sz w:val="24"/>
          <w:szCs w:val="24"/>
          <w:lang w:eastAsia="bg-BG"/>
        </w:rPr>
        <w:t>.</w:t>
      </w:r>
      <w:r w:rsidR="0047547E">
        <w:rPr>
          <w:rFonts w:ascii="Times New Roman" w:eastAsia="Times New Roman" w:hAnsi="Times New Roman" w:cs="Times New Roman"/>
          <w:sz w:val="24"/>
          <w:szCs w:val="24"/>
          <w:lang w:eastAsia="bg-BG"/>
        </w:rPr>
        <w:t xml:space="preserve"> </w:t>
      </w:r>
      <w:r w:rsidR="00F84C2A">
        <w:rPr>
          <w:rFonts w:ascii="Times New Roman" w:eastAsia="Times New Roman" w:hAnsi="Times New Roman" w:cs="Times New Roman"/>
          <w:sz w:val="24"/>
          <w:szCs w:val="24"/>
          <w:lang w:eastAsia="bg-BG"/>
        </w:rPr>
        <w:t xml:space="preserve">Прогнозната </w:t>
      </w:r>
      <w:r w:rsidR="002C415C" w:rsidRPr="002C415C">
        <w:rPr>
          <w:rFonts w:ascii="Times New Roman" w:eastAsia="Times New Roman" w:hAnsi="Times New Roman" w:cs="Times New Roman"/>
          <w:sz w:val="24"/>
          <w:szCs w:val="24"/>
          <w:lang w:eastAsia="bg-BG"/>
        </w:rPr>
        <w:t xml:space="preserve">годишна пазарна цена </w:t>
      </w:r>
      <w:r w:rsidR="002C415C" w:rsidRPr="0047547E">
        <w:rPr>
          <w:rFonts w:ascii="Times New Roman" w:eastAsia="Times New Roman" w:hAnsi="Times New Roman" w:cs="Times New Roman"/>
          <w:sz w:val="24"/>
          <w:szCs w:val="24"/>
          <w:lang w:eastAsia="bg-BG"/>
        </w:rPr>
        <w:t>на електрическата енергия</w:t>
      </w:r>
      <w:r w:rsidR="002C415C" w:rsidRPr="002C415C">
        <w:rPr>
          <w:rFonts w:ascii="Times New Roman" w:eastAsia="Times New Roman" w:hAnsi="Times New Roman" w:cs="Times New Roman"/>
          <w:sz w:val="24"/>
          <w:szCs w:val="24"/>
          <w:lang w:eastAsia="bg-BG"/>
        </w:rPr>
        <w:t xml:space="preserve"> за базов товар за периода 01.07.2020 г. – 30.06.2021 г.</w:t>
      </w:r>
      <w:r w:rsidR="00F84C2A">
        <w:rPr>
          <w:rFonts w:ascii="Times New Roman" w:eastAsia="Times New Roman" w:hAnsi="Times New Roman" w:cs="Times New Roman"/>
          <w:sz w:val="24"/>
          <w:szCs w:val="24"/>
          <w:lang w:eastAsia="bg-BG"/>
        </w:rPr>
        <w:t>, изчислена от КЕВР</w:t>
      </w:r>
      <w:r w:rsidR="0047547E" w:rsidRPr="0047547E">
        <w:rPr>
          <w:rFonts w:ascii="Times New Roman" w:eastAsia="Times New Roman" w:hAnsi="Times New Roman" w:cs="Times New Roman"/>
          <w:sz w:val="24"/>
          <w:szCs w:val="24"/>
          <w:lang w:eastAsia="bg-BG"/>
        </w:rPr>
        <w:t xml:space="preserve"> </w:t>
      </w:r>
      <w:r w:rsidR="002E4B29">
        <w:rPr>
          <w:rFonts w:ascii="Times New Roman" w:eastAsia="Times New Roman" w:hAnsi="Times New Roman" w:cs="Times New Roman"/>
          <w:sz w:val="24"/>
          <w:szCs w:val="24"/>
          <w:lang w:eastAsia="bg-BG"/>
        </w:rPr>
        <w:t xml:space="preserve">е </w:t>
      </w:r>
      <w:r w:rsidR="00191FDD">
        <w:rPr>
          <w:rFonts w:ascii="Times New Roman" w:eastAsia="Times New Roman" w:hAnsi="Times New Roman" w:cs="Times New Roman"/>
          <w:sz w:val="24"/>
          <w:szCs w:val="24"/>
          <w:lang w:eastAsia="bg-BG"/>
        </w:rPr>
        <w:t xml:space="preserve">в размер на </w:t>
      </w:r>
      <w:r w:rsidR="0047547E" w:rsidRPr="0047547E">
        <w:rPr>
          <w:rFonts w:ascii="Times New Roman" w:eastAsia="Times New Roman" w:hAnsi="Times New Roman" w:cs="Times New Roman"/>
          <w:sz w:val="24"/>
          <w:szCs w:val="24"/>
          <w:lang w:eastAsia="bg-BG"/>
        </w:rPr>
        <w:t>9</w:t>
      </w:r>
      <w:r w:rsidR="00191FDD">
        <w:rPr>
          <w:rFonts w:ascii="Times New Roman" w:eastAsia="Times New Roman" w:hAnsi="Times New Roman" w:cs="Times New Roman"/>
          <w:sz w:val="24"/>
          <w:szCs w:val="24"/>
          <w:lang w:eastAsia="bg-BG"/>
        </w:rPr>
        <w:t>0</w:t>
      </w:r>
      <w:r w:rsidR="0047547E" w:rsidRPr="0047547E">
        <w:rPr>
          <w:rFonts w:ascii="Times New Roman" w:eastAsia="Times New Roman" w:hAnsi="Times New Roman" w:cs="Times New Roman"/>
          <w:sz w:val="24"/>
          <w:szCs w:val="24"/>
          <w:lang w:eastAsia="bg-BG"/>
        </w:rPr>
        <w:t>,00 лв./</w:t>
      </w:r>
      <w:proofErr w:type="spellStart"/>
      <w:r w:rsidR="0047547E" w:rsidRPr="0047547E">
        <w:rPr>
          <w:rFonts w:ascii="Times New Roman" w:eastAsia="Times New Roman" w:hAnsi="Times New Roman" w:cs="Times New Roman"/>
          <w:sz w:val="24"/>
          <w:szCs w:val="24"/>
          <w:lang w:eastAsia="bg-BG"/>
        </w:rPr>
        <w:t>MWh</w:t>
      </w:r>
      <w:proofErr w:type="spellEnd"/>
      <w:r w:rsidR="0047547E" w:rsidRPr="0047547E">
        <w:rPr>
          <w:rFonts w:ascii="Times New Roman" w:eastAsia="Times New Roman" w:hAnsi="Times New Roman" w:cs="Times New Roman"/>
          <w:sz w:val="24"/>
          <w:szCs w:val="24"/>
          <w:lang w:eastAsia="bg-BG"/>
        </w:rPr>
        <w:t xml:space="preserve">, </w:t>
      </w:r>
      <w:r w:rsidR="00F84C2A">
        <w:rPr>
          <w:rFonts w:ascii="Times New Roman" w:eastAsia="Times New Roman" w:hAnsi="Times New Roman" w:cs="Times New Roman"/>
          <w:sz w:val="24"/>
          <w:szCs w:val="24"/>
          <w:lang w:eastAsia="bg-BG"/>
        </w:rPr>
        <w:t xml:space="preserve">поради което </w:t>
      </w:r>
      <w:r w:rsidR="002E4B29">
        <w:rPr>
          <w:rFonts w:ascii="Times New Roman" w:eastAsia="Times New Roman" w:hAnsi="Times New Roman" w:cs="Times New Roman"/>
          <w:sz w:val="24"/>
          <w:szCs w:val="24"/>
          <w:lang w:eastAsia="bg-BG"/>
        </w:rPr>
        <w:t xml:space="preserve">на „ТЕЦ Марица изток 2“ ЕАД </w:t>
      </w:r>
      <w:r w:rsidR="00F84C2A">
        <w:rPr>
          <w:rFonts w:ascii="Times New Roman" w:eastAsia="Times New Roman" w:hAnsi="Times New Roman" w:cs="Times New Roman"/>
          <w:sz w:val="24"/>
          <w:szCs w:val="24"/>
          <w:lang w:eastAsia="bg-BG"/>
        </w:rPr>
        <w:t>не е утвърдена регулирана цена и квота по реда на чл. 21, ал. 1, т. 21, изр. 2 от ЗЕ.</w:t>
      </w:r>
    </w:p>
    <w:p w14:paraId="2190F2AD" w14:textId="331F4C24" w:rsidR="002E4B29" w:rsidRDefault="002E4B29" w:rsidP="001365A2">
      <w:pPr>
        <w:spacing w:after="120" w:line="240" w:lineRule="auto"/>
        <w:jc w:val="both"/>
        <w:rPr>
          <w:rFonts w:ascii="Times New Roman" w:eastAsia="Times New Roman" w:hAnsi="Times New Roman" w:cs="Times New Roman"/>
          <w:sz w:val="24"/>
          <w:szCs w:val="24"/>
          <w:lang w:eastAsia="bg-BG"/>
        </w:rPr>
      </w:pPr>
      <w:r w:rsidRPr="002E4B29">
        <w:rPr>
          <w:rFonts w:ascii="Times New Roman" w:eastAsia="Times New Roman" w:hAnsi="Times New Roman" w:cs="Times New Roman"/>
          <w:sz w:val="24"/>
          <w:szCs w:val="24"/>
          <w:lang w:eastAsia="bg-BG"/>
        </w:rPr>
        <w:t xml:space="preserve">Министърът на енергетиката е издал Заповед № Е-РД-16-295 от 25.06.2020 г. С посочената заповед на основание чл. 4, ал. 2, т. 8 от ЗЕ министърът на енергетиката е определил на „ТЕЦ Марица изток 2“ ЕАД обща годишна квота в размер на 2 600 000 </w:t>
      </w:r>
      <w:proofErr w:type="spellStart"/>
      <w:r w:rsidRPr="002E4B29">
        <w:rPr>
          <w:rFonts w:ascii="Times New Roman" w:eastAsia="Times New Roman" w:hAnsi="Times New Roman" w:cs="Times New Roman"/>
          <w:sz w:val="24"/>
          <w:szCs w:val="24"/>
          <w:lang w:eastAsia="bg-BG"/>
        </w:rPr>
        <w:t>MWh</w:t>
      </w:r>
      <w:proofErr w:type="spellEnd"/>
      <w:r w:rsidRPr="002E4B29">
        <w:rPr>
          <w:rFonts w:ascii="Times New Roman" w:eastAsia="Times New Roman" w:hAnsi="Times New Roman" w:cs="Times New Roman"/>
          <w:sz w:val="24"/>
          <w:szCs w:val="24"/>
          <w:lang w:eastAsia="bg-BG"/>
        </w:rPr>
        <w:t xml:space="preserve"> за задължително изкупуване на електрическа енергия, произведена от местни първични източници на гориво</w:t>
      </w:r>
      <w:r w:rsidR="00187C85">
        <w:rPr>
          <w:rFonts w:ascii="Times New Roman" w:eastAsia="Times New Roman" w:hAnsi="Times New Roman" w:cs="Times New Roman"/>
          <w:sz w:val="24"/>
          <w:szCs w:val="24"/>
          <w:lang w:eastAsia="bg-BG"/>
        </w:rPr>
        <w:t xml:space="preserve"> </w:t>
      </w:r>
      <w:r w:rsidR="00187C85" w:rsidRPr="00187C85">
        <w:rPr>
          <w:rFonts w:ascii="Times New Roman" w:eastAsia="Times New Roman" w:hAnsi="Times New Roman" w:cs="Times New Roman"/>
          <w:sz w:val="24"/>
          <w:szCs w:val="24"/>
          <w:lang w:eastAsia="bg-BG"/>
        </w:rPr>
        <w:t>и представляват допълнително задължение на централата по смисъла на чл. 35 от ЗЕ</w:t>
      </w:r>
      <w:r w:rsidR="00187C85">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Pr="002E4B29">
        <w:rPr>
          <w:rFonts w:ascii="Times New Roman" w:eastAsia="Times New Roman" w:hAnsi="Times New Roman" w:cs="Times New Roman"/>
          <w:sz w:val="24"/>
          <w:szCs w:val="24"/>
          <w:lang w:eastAsia="bg-BG"/>
        </w:rPr>
        <w:t>Според същата заповед обща годишна квота следва да бъде произведена от „ТЕЦ Марица изток 2“ ЕАД за периода 01.07.2020 г. – 30.06.2021 г. По силата на чл. 93а, ал. 1, т. 3 от ЗЕ тази обща годишна квота следва да бъде изкупена от обществения доставчик.</w:t>
      </w:r>
      <w:r w:rsidR="00187C85">
        <w:rPr>
          <w:rFonts w:ascii="Times New Roman" w:eastAsia="Times New Roman" w:hAnsi="Times New Roman" w:cs="Times New Roman"/>
          <w:sz w:val="24"/>
          <w:szCs w:val="24"/>
          <w:lang w:eastAsia="bg-BG"/>
        </w:rPr>
        <w:t xml:space="preserve"> </w:t>
      </w:r>
      <w:r w:rsidR="00187C85" w:rsidRPr="00187C85">
        <w:rPr>
          <w:rFonts w:ascii="Times New Roman" w:eastAsia="Times New Roman" w:hAnsi="Times New Roman" w:cs="Times New Roman"/>
          <w:sz w:val="24"/>
          <w:szCs w:val="24"/>
          <w:lang w:eastAsia="bg-BG"/>
        </w:rPr>
        <w:t xml:space="preserve">С Решение № Ц-29/01.07.2020 г. на КЕВР количеството от Заповедта е включено </w:t>
      </w:r>
      <w:r w:rsidR="00D06919">
        <w:rPr>
          <w:rFonts w:ascii="Times New Roman" w:eastAsia="Times New Roman" w:hAnsi="Times New Roman" w:cs="Times New Roman"/>
          <w:sz w:val="24"/>
          <w:szCs w:val="24"/>
          <w:lang w:eastAsia="bg-BG"/>
        </w:rPr>
        <w:t>и</w:t>
      </w:r>
      <w:r w:rsidR="00187C85" w:rsidRPr="00187C85">
        <w:rPr>
          <w:rFonts w:ascii="Times New Roman" w:eastAsia="Times New Roman" w:hAnsi="Times New Roman" w:cs="Times New Roman"/>
          <w:sz w:val="24"/>
          <w:szCs w:val="24"/>
          <w:lang w:eastAsia="bg-BG"/>
        </w:rPr>
        <w:t xml:space="preserve"> определена  </w:t>
      </w:r>
      <w:proofErr w:type="spellStart"/>
      <w:r w:rsidR="00187C85" w:rsidRPr="00187C85">
        <w:rPr>
          <w:rFonts w:ascii="Times New Roman" w:eastAsia="Times New Roman" w:hAnsi="Times New Roman" w:cs="Times New Roman"/>
          <w:sz w:val="24"/>
          <w:szCs w:val="24"/>
          <w:lang w:eastAsia="bg-BG"/>
        </w:rPr>
        <w:t>помесечна</w:t>
      </w:r>
      <w:proofErr w:type="spellEnd"/>
      <w:r w:rsidR="00187C85" w:rsidRPr="00187C85">
        <w:rPr>
          <w:rFonts w:ascii="Times New Roman" w:eastAsia="Times New Roman" w:hAnsi="Times New Roman" w:cs="Times New Roman"/>
          <w:sz w:val="24"/>
          <w:szCs w:val="24"/>
          <w:lang w:eastAsia="bg-BG"/>
        </w:rPr>
        <w:t xml:space="preserve"> квота на „ТЕЦ Марица изток 2“ЕАД, която се изпълнява съгласно утвърдения прогнозен разчет</w:t>
      </w:r>
      <w:r w:rsidR="002C415C">
        <w:rPr>
          <w:rFonts w:ascii="Times New Roman" w:eastAsia="Times New Roman" w:hAnsi="Times New Roman" w:cs="Times New Roman"/>
          <w:sz w:val="24"/>
          <w:szCs w:val="24"/>
          <w:lang w:eastAsia="bg-BG"/>
        </w:rPr>
        <w:t>.</w:t>
      </w:r>
    </w:p>
    <w:p w14:paraId="3E55F2E3" w14:textId="0ED04431" w:rsidR="009F06F4" w:rsidRDefault="009F06F4" w:rsidP="001365A2">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Изминалата 2020 г. година </w:t>
      </w:r>
      <w:r w:rsidR="00187C85">
        <w:rPr>
          <w:rFonts w:ascii="Times New Roman" w:eastAsia="Times New Roman" w:hAnsi="Times New Roman" w:cs="Times New Roman"/>
          <w:sz w:val="24"/>
          <w:szCs w:val="24"/>
          <w:lang w:eastAsia="bg-BG"/>
        </w:rPr>
        <w:t>беш</w:t>
      </w:r>
      <w:r>
        <w:rPr>
          <w:rFonts w:ascii="Times New Roman" w:eastAsia="Times New Roman" w:hAnsi="Times New Roman" w:cs="Times New Roman"/>
          <w:sz w:val="24"/>
          <w:szCs w:val="24"/>
          <w:lang w:eastAsia="bg-BG"/>
        </w:rPr>
        <w:t xml:space="preserve">е повлияна изцяло от развилата се световна здравна криза с </w:t>
      </w:r>
      <w:r w:rsidRPr="00187C85">
        <w:rPr>
          <w:rFonts w:ascii="Times New Roman" w:eastAsia="Times New Roman" w:hAnsi="Times New Roman" w:cs="Times New Roman"/>
          <w:sz w:val="24"/>
          <w:szCs w:val="24"/>
          <w:lang w:eastAsia="bg-BG"/>
        </w:rPr>
        <w:t>COVID-19</w:t>
      </w:r>
      <w:r>
        <w:rPr>
          <w:rFonts w:ascii="Times New Roman" w:eastAsia="Times New Roman" w:hAnsi="Times New Roman" w:cs="Times New Roman"/>
          <w:sz w:val="24"/>
          <w:szCs w:val="24"/>
          <w:lang w:eastAsia="bg-BG"/>
        </w:rPr>
        <w:t>, която засегна всички сектори на икономиката. През първото полугодие</w:t>
      </w:r>
      <w:r w:rsidR="001861FF">
        <w:rPr>
          <w:rFonts w:ascii="Times New Roman" w:eastAsia="Times New Roman" w:hAnsi="Times New Roman" w:cs="Times New Roman"/>
          <w:sz w:val="24"/>
          <w:szCs w:val="24"/>
          <w:lang w:eastAsia="bg-BG"/>
        </w:rPr>
        <w:t>, световната</w:t>
      </w:r>
      <w:r>
        <w:rPr>
          <w:rFonts w:ascii="Times New Roman" w:eastAsia="Times New Roman" w:hAnsi="Times New Roman" w:cs="Times New Roman"/>
          <w:sz w:val="24"/>
          <w:szCs w:val="24"/>
          <w:lang w:eastAsia="bg-BG"/>
        </w:rPr>
        <w:t xml:space="preserve"> икономика</w:t>
      </w:r>
      <w:r w:rsidR="001861FF">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беше поставена на „пауза“, което рефлектира върху цените на основните енергийни ресурси. Цените на енергийните борси се сринаха, като може би в най-неизгодно положение се оказаха производителите, използващи въглища за производство на електроенергия. Втората половина на годината започна с умерен оптимизъм за възстановяване на икономическите дейности, но на практика този процес се очертава значително по-дълъг период от време</w:t>
      </w:r>
      <w:r w:rsidR="00AF2777">
        <w:rPr>
          <w:rFonts w:ascii="Times New Roman" w:eastAsia="Times New Roman" w:hAnsi="Times New Roman" w:cs="Times New Roman"/>
          <w:sz w:val="24"/>
          <w:szCs w:val="24"/>
          <w:lang w:eastAsia="bg-BG"/>
        </w:rPr>
        <w:t>, тъй като все още не могат да бъдат възстановени търговските обмени на нива преди кризата.</w:t>
      </w:r>
    </w:p>
    <w:p w14:paraId="623B3563" w14:textId="3C7A825C" w:rsidR="00AF2777" w:rsidRPr="00610788" w:rsidRDefault="00613D5D" w:rsidP="001365A2">
      <w:pPr>
        <w:spacing w:after="120" w:line="240" w:lineRule="auto"/>
        <w:jc w:val="both"/>
        <w:rPr>
          <w:rFonts w:ascii="Times New Roman" w:eastAsia="Times New Roman" w:hAnsi="Times New Roman" w:cs="Times New Roman"/>
          <w:sz w:val="24"/>
          <w:szCs w:val="24"/>
          <w:lang w:val="en-GB" w:eastAsia="bg-BG"/>
        </w:rPr>
      </w:pPr>
      <w:r>
        <w:rPr>
          <w:rFonts w:ascii="Times New Roman" w:eastAsia="Times New Roman" w:hAnsi="Times New Roman" w:cs="Times New Roman"/>
          <w:sz w:val="24"/>
          <w:szCs w:val="24"/>
          <w:lang w:eastAsia="bg-BG"/>
        </w:rPr>
        <w:t>…………………………………………………………………………………………….</w:t>
      </w:r>
    </w:p>
    <w:p w14:paraId="745B9A48" w14:textId="77777777" w:rsidR="009B00EB" w:rsidRDefault="006B0F18" w:rsidP="001365A2">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Макар и с минимален обем, с</w:t>
      </w:r>
      <w:r w:rsidR="009B00EB" w:rsidRPr="00513B0C">
        <w:rPr>
          <w:rFonts w:ascii="Times New Roman" w:eastAsia="Times New Roman" w:hAnsi="Times New Roman" w:cs="Times New Roman"/>
          <w:sz w:val="24"/>
          <w:szCs w:val="24"/>
          <w:lang w:eastAsia="bg-BG"/>
        </w:rPr>
        <w:t>ключените сделки по свободно договорени цени са в пълно съответствие с действащата законова и под законова нормативна база, като основен фактор върху формирането на приходите от производството и продажбата на електрическа енергия на „ТЕЦ Марица изток 2“ ЕАД са търсенето и предлагането, както и ценовите нива на енергията, търгувана в съседните страни на Р България.</w:t>
      </w:r>
    </w:p>
    <w:p w14:paraId="793AA833" w14:textId="77777777" w:rsidR="00F84C2A" w:rsidRDefault="00F84C2A" w:rsidP="008C4E67">
      <w:pPr>
        <w:spacing w:after="0" w:line="240" w:lineRule="auto"/>
        <w:jc w:val="both"/>
        <w:rPr>
          <w:rFonts w:ascii="Times New Roman" w:eastAsia="Times New Roman" w:hAnsi="Times New Roman" w:cs="Times New Roman"/>
          <w:sz w:val="24"/>
          <w:szCs w:val="24"/>
          <w:lang w:eastAsia="bg-BG"/>
        </w:rPr>
      </w:pPr>
    </w:p>
    <w:p w14:paraId="24BC510D" w14:textId="77777777" w:rsidR="00F67D59" w:rsidRDefault="00F67D59" w:rsidP="008C4E67">
      <w:pPr>
        <w:spacing w:after="0" w:line="240" w:lineRule="auto"/>
        <w:jc w:val="both"/>
        <w:rPr>
          <w:rFonts w:ascii="Times New Roman" w:eastAsia="Times New Roman" w:hAnsi="Times New Roman" w:cs="Times New Roman"/>
          <w:sz w:val="24"/>
          <w:szCs w:val="24"/>
          <w:lang w:eastAsia="bg-BG"/>
        </w:rPr>
      </w:pPr>
    </w:p>
    <w:p w14:paraId="677E38CF" w14:textId="77777777" w:rsidR="00F67D59" w:rsidRDefault="00F67D59" w:rsidP="008C4E67">
      <w:pPr>
        <w:spacing w:after="0" w:line="240" w:lineRule="auto"/>
        <w:jc w:val="both"/>
        <w:rPr>
          <w:rFonts w:ascii="Times New Roman" w:eastAsia="Times New Roman" w:hAnsi="Times New Roman" w:cs="Times New Roman"/>
          <w:sz w:val="24"/>
          <w:szCs w:val="24"/>
          <w:lang w:eastAsia="bg-BG"/>
        </w:rPr>
      </w:pPr>
    </w:p>
    <w:p w14:paraId="70565C46" w14:textId="77777777" w:rsidR="00F67D59" w:rsidRDefault="00F67D59" w:rsidP="008C4E67">
      <w:pPr>
        <w:spacing w:after="0" w:line="240" w:lineRule="auto"/>
        <w:jc w:val="both"/>
        <w:rPr>
          <w:rFonts w:ascii="Times New Roman" w:eastAsia="Times New Roman" w:hAnsi="Times New Roman" w:cs="Times New Roman"/>
          <w:sz w:val="24"/>
          <w:szCs w:val="24"/>
          <w:lang w:eastAsia="bg-BG"/>
        </w:rPr>
      </w:pPr>
    </w:p>
    <w:p w14:paraId="3C1EEC08" w14:textId="77777777" w:rsidR="00F67D59" w:rsidRDefault="00F67D59" w:rsidP="008C4E67">
      <w:pPr>
        <w:spacing w:after="0" w:line="240" w:lineRule="auto"/>
        <w:jc w:val="both"/>
        <w:rPr>
          <w:rFonts w:ascii="Times New Roman" w:eastAsia="Times New Roman" w:hAnsi="Times New Roman" w:cs="Times New Roman"/>
          <w:sz w:val="24"/>
          <w:szCs w:val="24"/>
          <w:lang w:eastAsia="bg-BG"/>
        </w:rPr>
      </w:pPr>
    </w:p>
    <w:p w14:paraId="74387B2F" w14:textId="77777777" w:rsidR="002C415C" w:rsidRDefault="002C415C" w:rsidP="002C415C">
      <w:pPr>
        <w:spacing w:after="0" w:line="240" w:lineRule="auto"/>
        <w:jc w:val="both"/>
        <w:rPr>
          <w:rFonts w:ascii="Times New Roman" w:eastAsia="Times New Roman" w:hAnsi="Times New Roman" w:cs="Times New Roman"/>
          <w:sz w:val="24"/>
          <w:szCs w:val="24"/>
          <w:lang w:eastAsia="bg-BG"/>
        </w:rPr>
      </w:pPr>
    </w:p>
    <w:p w14:paraId="56AED856" w14:textId="77777777" w:rsidR="00F84C2A" w:rsidRPr="00257C90" w:rsidRDefault="00F84C2A" w:rsidP="002C415C">
      <w:pPr>
        <w:pStyle w:val="ListParagraph"/>
        <w:numPr>
          <w:ilvl w:val="0"/>
          <w:numId w:val="1"/>
        </w:numPr>
        <w:spacing w:after="0" w:line="240" w:lineRule="auto"/>
        <w:jc w:val="both"/>
        <w:rPr>
          <w:rFonts w:ascii="Times New Roman" w:eastAsia="Times New Roman" w:hAnsi="Times New Roman" w:cs="Times New Roman"/>
          <w:b/>
          <w:sz w:val="24"/>
          <w:szCs w:val="24"/>
          <w:lang w:eastAsia="bg-BG"/>
        </w:rPr>
      </w:pPr>
      <w:r w:rsidRPr="00257C90">
        <w:rPr>
          <w:rFonts w:ascii="Times New Roman" w:eastAsia="Times New Roman" w:hAnsi="Times New Roman" w:cs="Times New Roman"/>
          <w:b/>
          <w:sz w:val="24"/>
          <w:szCs w:val="24"/>
          <w:lang w:eastAsia="bg-BG"/>
        </w:rPr>
        <w:t>Ценова рамка на „ТЕЦ Марица изток 2“ ЕАД за нов</w:t>
      </w:r>
      <w:r w:rsidR="006B0F18">
        <w:rPr>
          <w:rFonts w:ascii="Times New Roman" w:eastAsia="Times New Roman" w:hAnsi="Times New Roman" w:cs="Times New Roman"/>
          <w:b/>
          <w:sz w:val="24"/>
          <w:szCs w:val="24"/>
          <w:lang w:eastAsia="bg-BG"/>
        </w:rPr>
        <w:t>ия регулаторен период 01.07.2021 – 30.06.2022</w:t>
      </w:r>
      <w:r w:rsidRPr="00257C90">
        <w:rPr>
          <w:rFonts w:ascii="Times New Roman" w:eastAsia="Times New Roman" w:hAnsi="Times New Roman" w:cs="Times New Roman"/>
          <w:b/>
          <w:sz w:val="24"/>
          <w:szCs w:val="24"/>
          <w:lang w:eastAsia="bg-BG"/>
        </w:rPr>
        <w:t xml:space="preserve"> г.</w:t>
      </w:r>
    </w:p>
    <w:p w14:paraId="0CAE3682" w14:textId="77777777" w:rsidR="00F84C2A" w:rsidRDefault="00F84C2A" w:rsidP="00F84C2A">
      <w:pPr>
        <w:jc w:val="both"/>
        <w:rPr>
          <w:b/>
        </w:rPr>
      </w:pPr>
    </w:p>
    <w:p w14:paraId="126DD5D9" w14:textId="77777777" w:rsidR="00F84C2A" w:rsidRPr="00F84C2A" w:rsidRDefault="00F84C2A" w:rsidP="00F84C2A">
      <w:pPr>
        <w:pStyle w:val="ListParagraph"/>
        <w:numPr>
          <w:ilvl w:val="0"/>
          <w:numId w:val="2"/>
        </w:numPr>
        <w:jc w:val="both"/>
        <w:rPr>
          <w:rFonts w:ascii="Times New Roman" w:hAnsi="Times New Roman" w:cs="Times New Roman"/>
          <w:b/>
          <w:sz w:val="24"/>
          <w:szCs w:val="24"/>
        </w:rPr>
      </w:pPr>
      <w:r w:rsidRPr="00F84C2A">
        <w:rPr>
          <w:rFonts w:ascii="Times New Roman" w:hAnsi="Times New Roman" w:cs="Times New Roman"/>
          <w:b/>
          <w:sz w:val="24"/>
          <w:szCs w:val="24"/>
        </w:rPr>
        <w:t>Технически показатели в производството</w:t>
      </w:r>
    </w:p>
    <w:p w14:paraId="1AB1974A" w14:textId="1A172481" w:rsidR="00513B0C" w:rsidRPr="00513B0C" w:rsidRDefault="00513B0C" w:rsidP="001365A2">
      <w:pPr>
        <w:spacing w:after="120" w:line="240" w:lineRule="auto"/>
        <w:jc w:val="both"/>
        <w:rPr>
          <w:rFonts w:ascii="Times New Roman" w:hAnsi="Times New Roman" w:cs="Times New Roman"/>
          <w:sz w:val="24"/>
          <w:szCs w:val="24"/>
        </w:rPr>
      </w:pPr>
      <w:r w:rsidRPr="00513B0C">
        <w:rPr>
          <w:rFonts w:ascii="Times New Roman" w:hAnsi="Times New Roman" w:cs="Times New Roman"/>
          <w:sz w:val="24"/>
          <w:szCs w:val="24"/>
        </w:rPr>
        <w:t>Цената за електрическата енергия, посочена в заявлението за цени, за новия</w:t>
      </w:r>
      <w:r>
        <w:rPr>
          <w:rFonts w:ascii="Times New Roman" w:hAnsi="Times New Roman" w:cs="Times New Roman"/>
          <w:sz w:val="24"/>
          <w:szCs w:val="24"/>
        </w:rPr>
        <w:t xml:space="preserve"> </w:t>
      </w:r>
      <w:r w:rsidR="006B0F18">
        <w:rPr>
          <w:rFonts w:ascii="Times New Roman" w:hAnsi="Times New Roman" w:cs="Times New Roman"/>
          <w:sz w:val="24"/>
          <w:szCs w:val="24"/>
        </w:rPr>
        <w:t>регулаторен период от 01.07.2021</w:t>
      </w:r>
      <w:r w:rsidRPr="00513B0C">
        <w:rPr>
          <w:rFonts w:ascii="Times New Roman" w:hAnsi="Times New Roman" w:cs="Times New Roman"/>
          <w:sz w:val="24"/>
          <w:szCs w:val="24"/>
        </w:rPr>
        <w:t xml:space="preserve"> г. до 30.06.202</w:t>
      </w:r>
      <w:r w:rsidR="006B0F18">
        <w:rPr>
          <w:rFonts w:ascii="Times New Roman" w:hAnsi="Times New Roman" w:cs="Times New Roman"/>
          <w:sz w:val="24"/>
          <w:szCs w:val="24"/>
        </w:rPr>
        <w:t>2</w:t>
      </w:r>
      <w:r w:rsidRPr="00513B0C">
        <w:rPr>
          <w:rFonts w:ascii="Times New Roman" w:hAnsi="Times New Roman" w:cs="Times New Roman"/>
          <w:sz w:val="24"/>
          <w:szCs w:val="24"/>
        </w:rPr>
        <w:t xml:space="preserve"> г. е изчислена, следвайки методиката на КЕВР за ценообразуване съгласно Наредба № 1 от 14.03.2017 г. Издадена от Комисията за енергийно и водно регулиране, </w:t>
      </w:r>
      <w:proofErr w:type="spellStart"/>
      <w:r w:rsidR="00187C85" w:rsidRPr="00187C85">
        <w:rPr>
          <w:rFonts w:ascii="Times New Roman" w:hAnsi="Times New Roman" w:cs="Times New Roman"/>
          <w:sz w:val="24"/>
          <w:szCs w:val="24"/>
        </w:rPr>
        <w:t>Обн</w:t>
      </w:r>
      <w:proofErr w:type="spellEnd"/>
      <w:r w:rsidR="00187C85" w:rsidRPr="00187C85">
        <w:rPr>
          <w:rFonts w:ascii="Times New Roman" w:hAnsi="Times New Roman" w:cs="Times New Roman"/>
          <w:sz w:val="24"/>
          <w:szCs w:val="24"/>
        </w:rPr>
        <w:t xml:space="preserve">. ДВ. бр.25 от 24 Март 2017г., изм. и доп. ДВ. бр.52 </w:t>
      </w:r>
      <w:r w:rsidR="00187C85" w:rsidRPr="00187C85">
        <w:rPr>
          <w:rFonts w:ascii="Times New Roman" w:hAnsi="Times New Roman" w:cs="Times New Roman"/>
          <w:sz w:val="24"/>
          <w:szCs w:val="24"/>
        </w:rPr>
        <w:lastRenderedPageBreak/>
        <w:t>от 22 Юни 2018г.,изм. и доп. ДВ. бр.50 от 25 Юни 2019г., изм. и доп. ДВ. бр.47 от 22 Май 2020г</w:t>
      </w:r>
      <w:r w:rsidRPr="00513B0C">
        <w:rPr>
          <w:rFonts w:ascii="Times New Roman" w:hAnsi="Times New Roman" w:cs="Times New Roman"/>
          <w:sz w:val="24"/>
          <w:szCs w:val="24"/>
        </w:rPr>
        <w:t xml:space="preserve">,  както и Указания за нейното прилагане. </w:t>
      </w:r>
    </w:p>
    <w:p w14:paraId="2A05A0DD" w14:textId="77777777" w:rsidR="00513B0C" w:rsidRPr="00513B0C" w:rsidRDefault="00513B0C" w:rsidP="001365A2">
      <w:pPr>
        <w:spacing w:after="120" w:line="240" w:lineRule="auto"/>
        <w:jc w:val="both"/>
        <w:rPr>
          <w:rFonts w:ascii="Times New Roman" w:hAnsi="Times New Roman" w:cs="Times New Roman"/>
          <w:sz w:val="24"/>
          <w:szCs w:val="24"/>
        </w:rPr>
      </w:pPr>
      <w:r w:rsidRPr="00513B0C">
        <w:rPr>
          <w:rFonts w:ascii="Times New Roman" w:hAnsi="Times New Roman" w:cs="Times New Roman"/>
          <w:sz w:val="24"/>
          <w:szCs w:val="24"/>
        </w:rPr>
        <w:t xml:space="preserve">Съгласно Указанията, чл. 10 и чл. 30.1. лицензиантите предоставят информация за договорените и общо прогнозните количества </w:t>
      </w:r>
      <w:proofErr w:type="spellStart"/>
      <w:r w:rsidRPr="00513B0C">
        <w:rPr>
          <w:rFonts w:ascii="Times New Roman" w:hAnsi="Times New Roman" w:cs="Times New Roman"/>
          <w:sz w:val="24"/>
          <w:szCs w:val="24"/>
        </w:rPr>
        <w:t>разполагаемост</w:t>
      </w:r>
      <w:proofErr w:type="spellEnd"/>
      <w:r w:rsidRPr="00513B0C">
        <w:rPr>
          <w:rFonts w:ascii="Times New Roman" w:hAnsi="Times New Roman" w:cs="Times New Roman"/>
          <w:sz w:val="24"/>
          <w:szCs w:val="24"/>
        </w:rPr>
        <w:t xml:space="preserve"> на предоставената мощност, като сумата от предоставената почасова мощност включва всички часове в </w:t>
      </w:r>
      <w:proofErr w:type="spellStart"/>
      <w:r w:rsidRPr="00513B0C">
        <w:rPr>
          <w:rFonts w:ascii="Times New Roman" w:hAnsi="Times New Roman" w:cs="Times New Roman"/>
          <w:sz w:val="24"/>
          <w:szCs w:val="24"/>
        </w:rPr>
        <w:t>разполагаемост</w:t>
      </w:r>
      <w:proofErr w:type="spellEnd"/>
      <w:r w:rsidRPr="00513B0C">
        <w:rPr>
          <w:rFonts w:ascii="Times New Roman" w:hAnsi="Times New Roman" w:cs="Times New Roman"/>
          <w:sz w:val="24"/>
          <w:szCs w:val="24"/>
        </w:rPr>
        <w:t>, вкл. и студен резерв.</w:t>
      </w:r>
    </w:p>
    <w:p w14:paraId="34F913DB" w14:textId="7F258A21" w:rsidR="00513B0C" w:rsidRPr="001365A2" w:rsidRDefault="00513B0C" w:rsidP="001365A2">
      <w:pPr>
        <w:spacing w:after="120" w:line="240" w:lineRule="auto"/>
        <w:jc w:val="both"/>
        <w:rPr>
          <w:rFonts w:ascii="Times New Roman" w:hAnsi="Times New Roman" w:cs="Times New Roman"/>
          <w:color w:val="000000" w:themeColor="text1"/>
          <w:sz w:val="24"/>
          <w:szCs w:val="24"/>
        </w:rPr>
      </w:pPr>
      <w:r w:rsidRPr="001365A2">
        <w:rPr>
          <w:rFonts w:ascii="Times New Roman" w:hAnsi="Times New Roman" w:cs="Times New Roman"/>
          <w:color w:val="000000" w:themeColor="text1"/>
          <w:sz w:val="24"/>
          <w:szCs w:val="24"/>
        </w:rPr>
        <w:t xml:space="preserve">За новият ценови период </w:t>
      </w:r>
      <w:r w:rsidR="00187C85" w:rsidRPr="001365A2">
        <w:rPr>
          <w:rFonts w:ascii="Times New Roman" w:hAnsi="Times New Roman" w:cs="Times New Roman"/>
          <w:color w:val="000000" w:themeColor="text1"/>
          <w:sz w:val="24"/>
          <w:szCs w:val="24"/>
        </w:rPr>
        <w:t xml:space="preserve">максимално възможната </w:t>
      </w:r>
      <w:r w:rsidRPr="001365A2">
        <w:rPr>
          <w:rFonts w:ascii="Times New Roman" w:hAnsi="Times New Roman" w:cs="Times New Roman"/>
          <w:color w:val="000000" w:themeColor="text1"/>
          <w:sz w:val="24"/>
          <w:szCs w:val="24"/>
        </w:rPr>
        <w:t xml:space="preserve">нетната </w:t>
      </w:r>
      <w:proofErr w:type="spellStart"/>
      <w:r w:rsidRPr="001365A2">
        <w:rPr>
          <w:rFonts w:ascii="Times New Roman" w:hAnsi="Times New Roman" w:cs="Times New Roman"/>
          <w:color w:val="000000" w:themeColor="text1"/>
          <w:sz w:val="24"/>
          <w:szCs w:val="24"/>
        </w:rPr>
        <w:t>разполагаемост</w:t>
      </w:r>
      <w:proofErr w:type="spellEnd"/>
      <w:r w:rsidRPr="001365A2">
        <w:rPr>
          <w:rFonts w:ascii="Times New Roman" w:hAnsi="Times New Roman" w:cs="Times New Roman"/>
          <w:color w:val="000000" w:themeColor="text1"/>
          <w:sz w:val="24"/>
          <w:szCs w:val="24"/>
        </w:rPr>
        <w:t xml:space="preserve"> е в размер на </w:t>
      </w:r>
      <w:r w:rsidR="001C046C">
        <w:rPr>
          <w:rFonts w:ascii="Times New Roman" w:hAnsi="Times New Roman" w:cs="Times New Roman"/>
          <w:color w:val="000000" w:themeColor="text1"/>
          <w:sz w:val="24"/>
          <w:szCs w:val="24"/>
        </w:rPr>
        <w:t>…………..</w:t>
      </w:r>
      <w:r w:rsidRPr="001365A2">
        <w:rPr>
          <w:rFonts w:ascii="Times New Roman" w:hAnsi="Times New Roman" w:cs="Times New Roman"/>
          <w:color w:val="000000" w:themeColor="text1"/>
          <w:sz w:val="24"/>
          <w:szCs w:val="24"/>
        </w:rPr>
        <w:t xml:space="preserve"> </w:t>
      </w:r>
      <w:proofErr w:type="spellStart"/>
      <w:r w:rsidRPr="001365A2">
        <w:rPr>
          <w:rFonts w:ascii="Times New Roman" w:hAnsi="Times New Roman" w:cs="Times New Roman"/>
          <w:color w:val="000000" w:themeColor="text1"/>
          <w:sz w:val="24"/>
          <w:szCs w:val="24"/>
        </w:rPr>
        <w:t>МВтч</w:t>
      </w:r>
      <w:proofErr w:type="spellEnd"/>
      <w:r w:rsidRPr="001365A2">
        <w:rPr>
          <w:rFonts w:ascii="Times New Roman" w:hAnsi="Times New Roman" w:cs="Times New Roman"/>
          <w:color w:val="000000" w:themeColor="text1"/>
          <w:sz w:val="24"/>
          <w:szCs w:val="24"/>
        </w:rPr>
        <w:t xml:space="preserve">, която „ТЕЦ Марица изток 2“ ЕАД ще може да използва за продажби както на свободния, така и на регулирания пазар. Централата ще продължи да участва активно и на балансиращия пазар. За нуждите на регулирания пазар сме предвидили </w:t>
      </w:r>
      <w:r w:rsidR="001C046C">
        <w:rPr>
          <w:rFonts w:ascii="Times New Roman" w:hAnsi="Times New Roman" w:cs="Times New Roman"/>
          <w:color w:val="000000" w:themeColor="text1"/>
          <w:sz w:val="24"/>
          <w:szCs w:val="24"/>
        </w:rPr>
        <w:t>…………….</w:t>
      </w:r>
      <w:r w:rsidRPr="001365A2">
        <w:rPr>
          <w:rFonts w:ascii="Times New Roman" w:hAnsi="Times New Roman" w:cs="Times New Roman"/>
          <w:color w:val="000000" w:themeColor="text1"/>
          <w:sz w:val="24"/>
          <w:szCs w:val="24"/>
        </w:rPr>
        <w:t xml:space="preserve"> </w:t>
      </w:r>
      <w:proofErr w:type="spellStart"/>
      <w:r w:rsidRPr="001365A2">
        <w:rPr>
          <w:rFonts w:ascii="Times New Roman" w:hAnsi="Times New Roman" w:cs="Times New Roman"/>
          <w:color w:val="000000" w:themeColor="text1"/>
          <w:sz w:val="24"/>
          <w:szCs w:val="24"/>
        </w:rPr>
        <w:t>МВтч</w:t>
      </w:r>
      <w:proofErr w:type="spellEnd"/>
      <w:r w:rsidR="008C4E67" w:rsidRPr="001365A2">
        <w:rPr>
          <w:rFonts w:ascii="Times New Roman" w:hAnsi="Times New Roman" w:cs="Times New Roman"/>
          <w:color w:val="000000" w:themeColor="text1"/>
          <w:sz w:val="24"/>
          <w:szCs w:val="24"/>
        </w:rPr>
        <w:t xml:space="preserve"> нетна активна ел. енергия</w:t>
      </w:r>
      <w:r w:rsidRPr="001365A2">
        <w:rPr>
          <w:rFonts w:ascii="Times New Roman" w:hAnsi="Times New Roman" w:cs="Times New Roman"/>
          <w:color w:val="000000" w:themeColor="text1"/>
          <w:sz w:val="24"/>
          <w:szCs w:val="24"/>
        </w:rPr>
        <w:t xml:space="preserve">,  </w:t>
      </w:r>
      <w:r w:rsidR="001C046C">
        <w:rPr>
          <w:rFonts w:ascii="Times New Roman" w:hAnsi="Times New Roman" w:cs="Times New Roman"/>
          <w:color w:val="000000" w:themeColor="text1"/>
          <w:sz w:val="24"/>
          <w:szCs w:val="24"/>
        </w:rPr>
        <w:t>………………</w:t>
      </w:r>
      <w:r w:rsidR="001365A2">
        <w:rPr>
          <w:rFonts w:ascii="Times New Roman" w:hAnsi="Times New Roman" w:cs="Times New Roman"/>
          <w:color w:val="000000" w:themeColor="text1"/>
          <w:sz w:val="24"/>
          <w:szCs w:val="24"/>
        </w:rPr>
        <w:t xml:space="preserve"> </w:t>
      </w:r>
      <w:proofErr w:type="spellStart"/>
      <w:r w:rsidRPr="001365A2">
        <w:rPr>
          <w:rFonts w:ascii="Times New Roman" w:hAnsi="Times New Roman" w:cs="Times New Roman"/>
          <w:color w:val="000000" w:themeColor="text1"/>
          <w:sz w:val="24"/>
          <w:szCs w:val="24"/>
        </w:rPr>
        <w:t>МВтч</w:t>
      </w:r>
      <w:proofErr w:type="spellEnd"/>
      <w:r w:rsidRPr="001365A2">
        <w:rPr>
          <w:rFonts w:ascii="Times New Roman" w:hAnsi="Times New Roman" w:cs="Times New Roman"/>
          <w:color w:val="000000" w:themeColor="text1"/>
          <w:sz w:val="24"/>
          <w:szCs w:val="24"/>
        </w:rPr>
        <w:t xml:space="preserve"> </w:t>
      </w:r>
      <w:r w:rsidR="008C4E67" w:rsidRPr="001365A2">
        <w:rPr>
          <w:rFonts w:ascii="Times New Roman" w:hAnsi="Times New Roman" w:cs="Times New Roman"/>
          <w:color w:val="000000" w:themeColor="text1"/>
          <w:sz w:val="24"/>
          <w:szCs w:val="24"/>
        </w:rPr>
        <w:t xml:space="preserve">нетна активна ел. енергия </w:t>
      </w:r>
      <w:r w:rsidR="002C415C" w:rsidRPr="001365A2">
        <w:rPr>
          <w:rFonts w:ascii="Times New Roman" w:hAnsi="Times New Roman" w:cs="Times New Roman"/>
          <w:color w:val="000000" w:themeColor="text1"/>
          <w:sz w:val="24"/>
          <w:szCs w:val="24"/>
        </w:rPr>
        <w:t xml:space="preserve">се предвижда да бъдат </w:t>
      </w:r>
      <w:r w:rsidRPr="001365A2">
        <w:rPr>
          <w:rFonts w:ascii="Times New Roman" w:hAnsi="Times New Roman" w:cs="Times New Roman"/>
          <w:color w:val="000000" w:themeColor="text1"/>
          <w:sz w:val="24"/>
          <w:szCs w:val="24"/>
        </w:rPr>
        <w:t xml:space="preserve"> реализира</w:t>
      </w:r>
      <w:r w:rsidR="002C415C" w:rsidRPr="001365A2">
        <w:rPr>
          <w:rFonts w:ascii="Times New Roman" w:hAnsi="Times New Roman" w:cs="Times New Roman"/>
          <w:color w:val="000000" w:themeColor="text1"/>
          <w:sz w:val="24"/>
          <w:szCs w:val="24"/>
        </w:rPr>
        <w:t>ни</w:t>
      </w:r>
      <w:r w:rsidRPr="001365A2">
        <w:rPr>
          <w:rFonts w:ascii="Times New Roman" w:hAnsi="Times New Roman" w:cs="Times New Roman"/>
          <w:color w:val="000000" w:themeColor="text1"/>
          <w:sz w:val="24"/>
          <w:szCs w:val="24"/>
        </w:rPr>
        <w:t xml:space="preserve"> на свободен пазар на платформите на БНЕБ ЕАД и </w:t>
      </w:r>
      <w:r w:rsidR="001C046C">
        <w:rPr>
          <w:rFonts w:ascii="Times New Roman" w:hAnsi="Times New Roman" w:cs="Times New Roman"/>
          <w:color w:val="000000" w:themeColor="text1"/>
          <w:sz w:val="24"/>
          <w:szCs w:val="24"/>
        </w:rPr>
        <w:t>……………..</w:t>
      </w:r>
      <w:r w:rsidRPr="001365A2">
        <w:rPr>
          <w:rFonts w:ascii="Times New Roman" w:hAnsi="Times New Roman" w:cs="Times New Roman"/>
          <w:color w:val="000000" w:themeColor="text1"/>
          <w:sz w:val="24"/>
          <w:szCs w:val="24"/>
        </w:rPr>
        <w:t xml:space="preserve"> </w:t>
      </w:r>
      <w:proofErr w:type="spellStart"/>
      <w:r w:rsidRPr="001365A2">
        <w:rPr>
          <w:rFonts w:ascii="Times New Roman" w:hAnsi="Times New Roman" w:cs="Times New Roman"/>
          <w:color w:val="000000" w:themeColor="text1"/>
          <w:sz w:val="24"/>
          <w:szCs w:val="24"/>
        </w:rPr>
        <w:t>МВтч</w:t>
      </w:r>
      <w:proofErr w:type="spellEnd"/>
      <w:r w:rsidRPr="001365A2">
        <w:rPr>
          <w:rFonts w:ascii="Times New Roman" w:hAnsi="Times New Roman" w:cs="Times New Roman"/>
          <w:color w:val="000000" w:themeColor="text1"/>
          <w:sz w:val="24"/>
          <w:szCs w:val="24"/>
        </w:rPr>
        <w:t xml:space="preserve"> </w:t>
      </w:r>
      <w:r w:rsidR="008C4E67" w:rsidRPr="001365A2">
        <w:rPr>
          <w:rFonts w:ascii="Times New Roman" w:hAnsi="Times New Roman" w:cs="Times New Roman"/>
          <w:color w:val="000000" w:themeColor="text1"/>
          <w:sz w:val="24"/>
          <w:szCs w:val="24"/>
        </w:rPr>
        <w:t xml:space="preserve">нетна активна ел. енергия </w:t>
      </w:r>
      <w:r w:rsidRPr="001365A2">
        <w:rPr>
          <w:rFonts w:ascii="Times New Roman" w:hAnsi="Times New Roman" w:cs="Times New Roman"/>
          <w:color w:val="000000" w:themeColor="text1"/>
          <w:sz w:val="24"/>
          <w:szCs w:val="24"/>
        </w:rPr>
        <w:t xml:space="preserve">на балансиращия пазар. </w:t>
      </w:r>
      <w:r w:rsidR="002C415C" w:rsidRPr="001365A2">
        <w:rPr>
          <w:rFonts w:ascii="Times New Roman" w:hAnsi="Times New Roman" w:cs="Times New Roman"/>
          <w:color w:val="000000" w:themeColor="text1"/>
          <w:sz w:val="24"/>
          <w:szCs w:val="24"/>
        </w:rPr>
        <w:t xml:space="preserve">Дружеството очаква да реализира </w:t>
      </w:r>
      <w:r w:rsidR="008C4E67" w:rsidRPr="001365A2">
        <w:rPr>
          <w:rFonts w:ascii="Times New Roman" w:hAnsi="Times New Roman" w:cs="Times New Roman"/>
          <w:color w:val="000000" w:themeColor="text1"/>
          <w:sz w:val="24"/>
          <w:szCs w:val="24"/>
        </w:rPr>
        <w:t>като</w:t>
      </w:r>
      <w:r w:rsidR="002C415C" w:rsidRPr="001365A2">
        <w:rPr>
          <w:rFonts w:ascii="Times New Roman" w:hAnsi="Times New Roman" w:cs="Times New Roman"/>
          <w:color w:val="000000" w:themeColor="text1"/>
          <w:sz w:val="24"/>
          <w:szCs w:val="24"/>
        </w:rPr>
        <w:t xml:space="preserve"> разполагаема мощност </w:t>
      </w:r>
      <w:r w:rsidRPr="001365A2">
        <w:rPr>
          <w:rFonts w:ascii="Times New Roman" w:hAnsi="Times New Roman" w:cs="Times New Roman"/>
          <w:color w:val="000000" w:themeColor="text1"/>
          <w:sz w:val="24"/>
          <w:szCs w:val="24"/>
        </w:rPr>
        <w:t xml:space="preserve">за допълнителни услуги – първично и вторично регулиране общо </w:t>
      </w:r>
      <w:r w:rsidR="001C046C">
        <w:rPr>
          <w:rFonts w:ascii="Times New Roman" w:hAnsi="Times New Roman" w:cs="Times New Roman"/>
          <w:color w:val="000000" w:themeColor="text1"/>
          <w:sz w:val="24"/>
          <w:szCs w:val="24"/>
        </w:rPr>
        <w:t>…………………</w:t>
      </w:r>
      <w:r w:rsidRPr="001365A2">
        <w:rPr>
          <w:rFonts w:ascii="Times New Roman" w:hAnsi="Times New Roman" w:cs="Times New Roman"/>
          <w:color w:val="000000" w:themeColor="text1"/>
          <w:sz w:val="24"/>
          <w:szCs w:val="24"/>
        </w:rPr>
        <w:t xml:space="preserve"> </w:t>
      </w:r>
      <w:proofErr w:type="spellStart"/>
      <w:r w:rsidRPr="001365A2">
        <w:rPr>
          <w:rFonts w:ascii="Times New Roman" w:hAnsi="Times New Roman" w:cs="Times New Roman"/>
          <w:color w:val="000000" w:themeColor="text1"/>
          <w:sz w:val="24"/>
          <w:szCs w:val="24"/>
        </w:rPr>
        <w:t>МВтч</w:t>
      </w:r>
      <w:proofErr w:type="spellEnd"/>
      <w:r w:rsidR="008C4E67" w:rsidRPr="00E41EF9">
        <w:rPr>
          <w:rFonts w:ascii="Times New Roman" w:hAnsi="Times New Roman" w:cs="Times New Roman"/>
          <w:color w:val="000000" w:themeColor="text1"/>
          <w:sz w:val="24"/>
          <w:szCs w:val="24"/>
        </w:rPr>
        <w:t>.</w:t>
      </w:r>
    </w:p>
    <w:p w14:paraId="527B7CAB" w14:textId="77777777" w:rsidR="00F84C2A" w:rsidRDefault="00F84C2A" w:rsidP="001365A2">
      <w:pPr>
        <w:pStyle w:val="ListParagraph"/>
        <w:numPr>
          <w:ilvl w:val="0"/>
          <w:numId w:val="2"/>
        </w:num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Правен и икономически анализ</w:t>
      </w:r>
    </w:p>
    <w:p w14:paraId="666A8A3B" w14:textId="15817D85" w:rsidR="006B0F18" w:rsidRPr="006B0F18" w:rsidRDefault="006B0F18" w:rsidP="001365A2">
      <w:pPr>
        <w:spacing w:after="120" w:line="240" w:lineRule="auto"/>
        <w:jc w:val="both"/>
        <w:rPr>
          <w:rFonts w:ascii="Times New Roman" w:hAnsi="Times New Roman" w:cs="Times New Roman"/>
          <w:sz w:val="24"/>
          <w:szCs w:val="24"/>
        </w:rPr>
      </w:pPr>
      <w:r w:rsidRPr="006B0F18">
        <w:rPr>
          <w:rFonts w:ascii="Times New Roman" w:hAnsi="Times New Roman" w:cs="Times New Roman"/>
          <w:sz w:val="24"/>
          <w:szCs w:val="24"/>
        </w:rPr>
        <w:t xml:space="preserve">„ТЕЦ Марица изток 2” ЕАД е най-голямата </w:t>
      </w:r>
      <w:proofErr w:type="spellStart"/>
      <w:r w:rsidRPr="006B0F18">
        <w:rPr>
          <w:rFonts w:ascii="Times New Roman" w:hAnsi="Times New Roman" w:cs="Times New Roman"/>
          <w:sz w:val="24"/>
          <w:szCs w:val="24"/>
        </w:rPr>
        <w:t>иновирана</w:t>
      </w:r>
      <w:proofErr w:type="spellEnd"/>
      <w:r w:rsidRPr="006B0F18">
        <w:rPr>
          <w:rFonts w:ascii="Times New Roman" w:hAnsi="Times New Roman" w:cs="Times New Roman"/>
          <w:sz w:val="24"/>
          <w:szCs w:val="24"/>
        </w:rPr>
        <w:t xml:space="preserve"> топлоелектрическа централа в България. Тя се състои от осем генериращи блока с изградени </w:t>
      </w:r>
      <w:proofErr w:type="spellStart"/>
      <w:r w:rsidRPr="006B0F18">
        <w:rPr>
          <w:rFonts w:ascii="Times New Roman" w:hAnsi="Times New Roman" w:cs="Times New Roman"/>
          <w:sz w:val="24"/>
          <w:szCs w:val="24"/>
        </w:rPr>
        <w:t>сероочистващи</w:t>
      </w:r>
      <w:proofErr w:type="spellEnd"/>
      <w:r w:rsidRPr="006B0F18">
        <w:rPr>
          <w:rFonts w:ascii="Times New Roman" w:hAnsi="Times New Roman" w:cs="Times New Roman"/>
          <w:sz w:val="24"/>
          <w:szCs w:val="24"/>
        </w:rPr>
        <w:t xml:space="preserve"> инсталации (СОИ) с ефективност над 9</w:t>
      </w:r>
      <w:r w:rsidR="00AA263B">
        <w:rPr>
          <w:rFonts w:ascii="Times New Roman" w:hAnsi="Times New Roman" w:cs="Times New Roman"/>
          <w:sz w:val="24"/>
          <w:szCs w:val="24"/>
        </w:rPr>
        <w:t>6</w:t>
      </w:r>
      <w:r w:rsidRPr="006B0F18">
        <w:rPr>
          <w:rFonts w:ascii="Times New Roman" w:hAnsi="Times New Roman" w:cs="Times New Roman"/>
          <w:sz w:val="24"/>
          <w:szCs w:val="24"/>
        </w:rPr>
        <w:t xml:space="preserve">%. Преди инсталирането на новите съоръжения централата </w:t>
      </w:r>
      <w:r w:rsidR="008C4E67">
        <w:rPr>
          <w:rFonts w:ascii="Times New Roman" w:hAnsi="Times New Roman" w:cs="Times New Roman"/>
          <w:sz w:val="24"/>
          <w:szCs w:val="24"/>
        </w:rPr>
        <w:t>беше</w:t>
      </w:r>
      <w:r w:rsidR="008C4E67" w:rsidRPr="006B0F18">
        <w:rPr>
          <w:rFonts w:ascii="Times New Roman" w:hAnsi="Times New Roman" w:cs="Times New Roman"/>
          <w:sz w:val="24"/>
          <w:szCs w:val="24"/>
        </w:rPr>
        <w:t xml:space="preserve"> </w:t>
      </w:r>
      <w:r w:rsidRPr="006B0F18">
        <w:rPr>
          <w:rFonts w:ascii="Times New Roman" w:hAnsi="Times New Roman" w:cs="Times New Roman"/>
          <w:sz w:val="24"/>
          <w:szCs w:val="24"/>
        </w:rPr>
        <w:t xml:space="preserve">с обща </w:t>
      </w:r>
      <w:r w:rsidR="008C4E67">
        <w:rPr>
          <w:rFonts w:ascii="Times New Roman" w:hAnsi="Times New Roman" w:cs="Times New Roman"/>
          <w:sz w:val="24"/>
          <w:szCs w:val="24"/>
        </w:rPr>
        <w:t xml:space="preserve">инсталирана </w:t>
      </w:r>
      <w:r w:rsidRPr="006B0F18">
        <w:rPr>
          <w:rFonts w:ascii="Times New Roman" w:hAnsi="Times New Roman" w:cs="Times New Roman"/>
          <w:sz w:val="24"/>
          <w:szCs w:val="24"/>
        </w:rPr>
        <w:t xml:space="preserve">мощност от 1450 </w:t>
      </w:r>
      <w:proofErr w:type="spellStart"/>
      <w:r w:rsidRPr="006B0F18">
        <w:rPr>
          <w:rFonts w:ascii="Times New Roman" w:hAnsi="Times New Roman" w:cs="Times New Roman"/>
          <w:sz w:val="24"/>
          <w:szCs w:val="24"/>
        </w:rPr>
        <w:t>МВт</w:t>
      </w:r>
      <w:proofErr w:type="spellEnd"/>
      <w:r w:rsidRPr="006B0F18">
        <w:rPr>
          <w:rFonts w:ascii="Times New Roman" w:hAnsi="Times New Roman" w:cs="Times New Roman"/>
          <w:sz w:val="24"/>
          <w:szCs w:val="24"/>
        </w:rPr>
        <w:t xml:space="preserve">, но след извършената рехабилитация мощността достигна 1610 </w:t>
      </w:r>
      <w:proofErr w:type="spellStart"/>
      <w:r w:rsidRPr="006B0F18">
        <w:rPr>
          <w:rFonts w:ascii="Times New Roman" w:hAnsi="Times New Roman" w:cs="Times New Roman"/>
          <w:sz w:val="24"/>
          <w:szCs w:val="24"/>
        </w:rPr>
        <w:t>MВт</w:t>
      </w:r>
      <w:proofErr w:type="spellEnd"/>
      <w:r w:rsidRPr="006B0F18">
        <w:rPr>
          <w:rFonts w:ascii="Times New Roman" w:hAnsi="Times New Roman" w:cs="Times New Roman"/>
          <w:sz w:val="24"/>
          <w:szCs w:val="24"/>
        </w:rPr>
        <w:t xml:space="preserve">. Животът на съоръженията беше увеличен с 25 години. </w:t>
      </w:r>
    </w:p>
    <w:p w14:paraId="2045D8AB" w14:textId="77777777" w:rsidR="006B0F18" w:rsidRPr="006B0F18" w:rsidRDefault="006B0F18" w:rsidP="001365A2">
      <w:pPr>
        <w:spacing w:after="120" w:line="240" w:lineRule="auto"/>
        <w:jc w:val="both"/>
        <w:rPr>
          <w:rFonts w:ascii="Times New Roman" w:hAnsi="Times New Roman" w:cs="Times New Roman"/>
          <w:sz w:val="24"/>
          <w:szCs w:val="24"/>
        </w:rPr>
      </w:pPr>
      <w:r w:rsidRPr="006B0F18">
        <w:rPr>
          <w:rFonts w:ascii="Times New Roman" w:hAnsi="Times New Roman" w:cs="Times New Roman"/>
          <w:sz w:val="24"/>
          <w:szCs w:val="24"/>
        </w:rPr>
        <w:t>Дружеството осъществява дейността си в съответствие с нормативната уредба на енергетиката в България. Цените на електрическата енергия, предназначена за обществена доставка се регулират от Комисията по енергийно и водно регулиране (КЕВР) в съответствие с изискванията на Закона за енергетиката и Наредба за регулиране на цените на електрическата енергия. „ТЕЦ Марица изток 2“ЕАД  участва на свободния пазар, като сключва сделки с търговци на електрическа енергия и привилегировани потребители по свободно договорени цени при условията предвидени в Закона за енергетиката и Правилата за търговия с електрическа енергия.</w:t>
      </w:r>
    </w:p>
    <w:p w14:paraId="3295ECCB" w14:textId="77777777" w:rsidR="006B0F18" w:rsidRPr="006B0F18" w:rsidRDefault="006B0F18" w:rsidP="001365A2">
      <w:pPr>
        <w:spacing w:after="120" w:line="240" w:lineRule="auto"/>
        <w:jc w:val="both"/>
        <w:rPr>
          <w:rFonts w:ascii="Times New Roman" w:hAnsi="Times New Roman" w:cs="Times New Roman"/>
          <w:sz w:val="24"/>
          <w:szCs w:val="24"/>
        </w:rPr>
      </w:pPr>
      <w:r w:rsidRPr="006B0F18">
        <w:rPr>
          <w:rFonts w:ascii="Times New Roman" w:hAnsi="Times New Roman" w:cs="Times New Roman"/>
          <w:sz w:val="24"/>
          <w:szCs w:val="24"/>
        </w:rPr>
        <w:t>Дружеството притежава издадени следните лицензии:</w:t>
      </w:r>
    </w:p>
    <w:p w14:paraId="3CA9E4F7" w14:textId="27AE649F" w:rsidR="006B0F18" w:rsidRDefault="006B0F18" w:rsidP="001365A2">
      <w:pPr>
        <w:spacing w:after="120" w:line="240" w:lineRule="auto"/>
        <w:jc w:val="both"/>
        <w:rPr>
          <w:rFonts w:ascii="Times New Roman" w:hAnsi="Times New Roman" w:cs="Times New Roman"/>
          <w:sz w:val="24"/>
          <w:szCs w:val="24"/>
        </w:rPr>
      </w:pPr>
      <w:r w:rsidRPr="006B0F18">
        <w:rPr>
          <w:rFonts w:ascii="Times New Roman" w:hAnsi="Times New Roman" w:cs="Times New Roman"/>
          <w:sz w:val="24"/>
          <w:szCs w:val="24"/>
        </w:rPr>
        <w:t>-</w:t>
      </w:r>
      <w:r w:rsidRPr="006B0F18">
        <w:rPr>
          <w:rFonts w:ascii="Times New Roman" w:hAnsi="Times New Roman" w:cs="Times New Roman"/>
          <w:sz w:val="24"/>
          <w:szCs w:val="24"/>
        </w:rPr>
        <w:tab/>
        <w:t>Лицензия за производство на електрическа енергия, издадена от ДКЕР с № Л-091-01 от 21.02.2001 г. за срок от 20 (двадесет) години. С Решение № И1-Л-091/02.07.2020 г. на КЕВР е продължен срока на лицензията за производство на електрическа енергия с 20 години, считано от 24.03.2021 г.</w:t>
      </w:r>
    </w:p>
    <w:p w14:paraId="5CC19A91"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w:t>
      </w:r>
      <w:r w:rsidRPr="00D71840">
        <w:rPr>
          <w:rFonts w:ascii="Times New Roman" w:hAnsi="Times New Roman" w:cs="Times New Roman"/>
          <w:sz w:val="24"/>
          <w:szCs w:val="24"/>
        </w:rPr>
        <w:tab/>
        <w:t>Лицензия за търговия с електрическа енергия, издадена от КЕВР с № Л-498-15 от 31.01.2018 г. за срок от 10 (десет) години.</w:t>
      </w:r>
    </w:p>
    <w:p w14:paraId="0A53876B"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w:t>
      </w:r>
      <w:r w:rsidRPr="00D71840">
        <w:rPr>
          <w:rFonts w:ascii="Times New Roman" w:hAnsi="Times New Roman" w:cs="Times New Roman"/>
          <w:sz w:val="24"/>
          <w:szCs w:val="24"/>
        </w:rPr>
        <w:tab/>
        <w:t>Лицензии за осъществяване на технически надзор на съоръжения с повишена опасност, издадени от ДАМТН с № 510 / 05.06.2008 г. и №755/25.05.2015 г.</w:t>
      </w:r>
    </w:p>
    <w:p w14:paraId="417EC613"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w:t>
      </w:r>
      <w:r w:rsidRPr="00D71840">
        <w:rPr>
          <w:rFonts w:ascii="Times New Roman" w:hAnsi="Times New Roman" w:cs="Times New Roman"/>
          <w:sz w:val="24"/>
          <w:szCs w:val="24"/>
        </w:rPr>
        <w:tab/>
        <w:t>Удостоверения за поддържане, ремонтиране и преустройване на съоръжения с повишена опасност, издадени от ДАМТН с № СТ 058/29.05.2008 г. и № СТ 148/10.11.2014 г.</w:t>
      </w:r>
    </w:p>
    <w:p w14:paraId="37819534"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lastRenderedPageBreak/>
        <w:t>-</w:t>
      </w:r>
      <w:r w:rsidRPr="00D71840">
        <w:rPr>
          <w:rFonts w:ascii="Times New Roman" w:hAnsi="Times New Roman" w:cs="Times New Roman"/>
          <w:sz w:val="24"/>
          <w:szCs w:val="24"/>
        </w:rPr>
        <w:tab/>
        <w:t>Акредитация на „Лаборатория за изпитване на въглища“, съгласно БДС EN ISO/IEC 17025:2006 издадена от БСА с № 220ЛИ / 30.06.2017 г. (валидна до 30.06.2021 г.).</w:t>
      </w:r>
    </w:p>
    <w:p w14:paraId="0145BE9E" w14:textId="77777777" w:rsidR="006B0F18"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w:t>
      </w:r>
      <w:r w:rsidRPr="00D71840">
        <w:rPr>
          <w:rFonts w:ascii="Times New Roman" w:hAnsi="Times New Roman" w:cs="Times New Roman"/>
          <w:sz w:val="24"/>
          <w:szCs w:val="24"/>
        </w:rPr>
        <w:tab/>
        <w:t>Акредитация на Орган за контрол „Контрол на метала“ от вид С, съгласно БДС EN ISO/IEC 17020:2012 издадена от БСА с № 194 ОКС /28.02.2018 г. (валидна до 28.02.2022 г.).</w:t>
      </w:r>
    </w:p>
    <w:p w14:paraId="6BAE54E4"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 xml:space="preserve">Използваните в практиката на „ТЕЦ Марица изток 2” ЕАД законодателни, нормативни и </w:t>
      </w:r>
      <w:proofErr w:type="spellStart"/>
      <w:r w:rsidRPr="00D71840">
        <w:rPr>
          <w:rFonts w:ascii="Times New Roman" w:hAnsi="Times New Roman" w:cs="Times New Roman"/>
          <w:sz w:val="24"/>
          <w:szCs w:val="24"/>
        </w:rPr>
        <w:t>стандартизационни</w:t>
      </w:r>
      <w:proofErr w:type="spellEnd"/>
      <w:r w:rsidRPr="00D71840">
        <w:rPr>
          <w:rFonts w:ascii="Times New Roman" w:hAnsi="Times New Roman" w:cs="Times New Roman"/>
          <w:sz w:val="24"/>
          <w:szCs w:val="24"/>
        </w:rPr>
        <w:t xml:space="preserve"> документи (закони, директиви, наредби, правилници, стандарти, вътрешни процедури и регламенти) се управляват, поддържат и  разпространяват в актуално състояние чрез поддържането на електронен регистър към Интегрирана система за управление (ИСУ). Тя включва сертифицираните:</w:t>
      </w:r>
    </w:p>
    <w:p w14:paraId="19FB9017"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 xml:space="preserve">Система за управление на качеството, съгласно ISO 9001:2015 със  Сертификат № 01 100 133  4435;  </w:t>
      </w:r>
    </w:p>
    <w:p w14:paraId="62D37887"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Система за управление на околната среда, съгласно ISO 14001:2015 със  Сертификат № 01 104 133 4435;</w:t>
      </w:r>
    </w:p>
    <w:p w14:paraId="65C3B965"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Система за управление на здравето и безопасността при работа, съгласно BS OHSAS 18001:2007 със Сертификат № TRBA 113 0012.</w:t>
      </w:r>
    </w:p>
    <w:p w14:paraId="20AC362E"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„ТЕЦ Марица изток 2“ЕАД осъществява дейността си при спазване на изискванията и условията на действащата нормативна уредба на Р България и действащото Европейско законодателство:</w:t>
      </w:r>
    </w:p>
    <w:p w14:paraId="09A73810"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Директива 2009/72/ЕО на Европейския парламент и на Съвета от 13  юли 2009  г. относно общите правила за вътрешния пазар на електроенергия и за отмяна на Директива 2003/54/ЕО</w:t>
      </w:r>
      <w:r>
        <w:rPr>
          <w:rFonts w:ascii="Times New Roman" w:hAnsi="Times New Roman" w:cs="Times New Roman"/>
          <w:sz w:val="24"/>
          <w:szCs w:val="24"/>
        </w:rPr>
        <w:t>;</w:t>
      </w:r>
    </w:p>
    <w:p w14:paraId="6F1E7DE0" w14:textId="77777777" w:rsid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Регламент (ЕС) № 1227/2011 на Европейския парламент и Съвета от 25 октомври 2011 г. относно интегритета и прозрачността на пазар</w:t>
      </w:r>
      <w:r>
        <w:rPr>
          <w:rFonts w:ascii="Times New Roman" w:hAnsi="Times New Roman" w:cs="Times New Roman"/>
          <w:sz w:val="24"/>
          <w:szCs w:val="24"/>
        </w:rPr>
        <w:t>а за търговия на едро с енергия;</w:t>
      </w:r>
    </w:p>
    <w:p w14:paraId="7FCFDFD3"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Регламент за изпълнение (ЕС) № 1348/2014 на Европейската Комисия от 17 декември 2014 г. за прилагане на член 8, параграфи 2 и 6 от Регламент (ЕС) № 1227/2011 на Европейския парламент и на Съвета относно интегритета и прозрачността на пазара за търговия на едро с енергия по отношение на докладването на данни</w:t>
      </w:r>
      <w:r>
        <w:rPr>
          <w:rFonts w:ascii="Times New Roman" w:hAnsi="Times New Roman" w:cs="Times New Roman"/>
          <w:sz w:val="24"/>
          <w:szCs w:val="24"/>
        </w:rPr>
        <w:t>;</w:t>
      </w:r>
    </w:p>
    <w:p w14:paraId="64CA9FC1"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Директива 2010/75/ЕС на Европейския парламент и на Съвета от 24 ноември 2010 г. относно емисиите от промишлеността (комплексно предотвратяване и контрол на замърсяването)</w:t>
      </w:r>
      <w:r>
        <w:rPr>
          <w:rFonts w:ascii="Times New Roman" w:hAnsi="Times New Roman" w:cs="Times New Roman"/>
          <w:sz w:val="24"/>
          <w:szCs w:val="24"/>
        </w:rPr>
        <w:t>;</w:t>
      </w:r>
    </w:p>
    <w:p w14:paraId="4C5FA3ED"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Решение за изпълнение (ЕС) 2017/1442 на Комисията от 31 юли 2017 година за формулиране на заключения за най-добри налични техники (НДНТ) за големи горивни инсталации съгласно Директива 2010/75/ЕС на Европейския парламент и на Съвета</w:t>
      </w:r>
      <w:r>
        <w:rPr>
          <w:rFonts w:ascii="Times New Roman" w:hAnsi="Times New Roman" w:cs="Times New Roman"/>
          <w:sz w:val="24"/>
          <w:szCs w:val="24"/>
        </w:rPr>
        <w:t>;</w:t>
      </w:r>
      <w:r w:rsidRPr="00D71840">
        <w:rPr>
          <w:rFonts w:ascii="Times New Roman" w:hAnsi="Times New Roman" w:cs="Times New Roman"/>
          <w:sz w:val="24"/>
          <w:szCs w:val="24"/>
        </w:rPr>
        <w:t xml:space="preserve"> </w:t>
      </w:r>
    </w:p>
    <w:p w14:paraId="0C209BC2"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Закон за енергетиката (изм. и доп., бр. 91 от 02.11.2018 г.)</w:t>
      </w:r>
      <w:r>
        <w:rPr>
          <w:rFonts w:ascii="Times New Roman" w:hAnsi="Times New Roman" w:cs="Times New Roman"/>
          <w:sz w:val="24"/>
          <w:szCs w:val="24"/>
        </w:rPr>
        <w:t>;</w:t>
      </w:r>
    </w:p>
    <w:p w14:paraId="5A042117"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Закон за опазване на околната среда</w:t>
      </w:r>
      <w:r>
        <w:rPr>
          <w:rFonts w:ascii="Times New Roman" w:hAnsi="Times New Roman" w:cs="Times New Roman"/>
          <w:sz w:val="24"/>
          <w:szCs w:val="24"/>
        </w:rPr>
        <w:t>;</w:t>
      </w:r>
    </w:p>
    <w:p w14:paraId="6B76515C" w14:textId="77777777" w:rsidR="00D71840" w:rsidRPr="00D71840" w:rsidRDefault="00D71840" w:rsidP="001365A2">
      <w:pPr>
        <w:pStyle w:val="ListParagraph"/>
        <w:numPr>
          <w:ilvl w:val="0"/>
          <w:numId w:val="12"/>
        </w:num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Правила за търговия с електрическа енергия</w:t>
      </w:r>
      <w:r>
        <w:rPr>
          <w:rFonts w:ascii="Times New Roman" w:hAnsi="Times New Roman" w:cs="Times New Roman"/>
          <w:sz w:val="24"/>
          <w:szCs w:val="24"/>
        </w:rPr>
        <w:t>.</w:t>
      </w:r>
    </w:p>
    <w:p w14:paraId="351C26BE"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Като ключова производствена мощност „ТЕЦ Марица изток 2“ ЕАД е пряко засегната от новите изисквания на Енергийния съюз, свързани с увеличаване на дела на чистата енергия, повишаване на конкурентоспособността на възобновяемата енергия и не на последно място предстоящото обединение на енергийните пазари.</w:t>
      </w:r>
    </w:p>
    <w:p w14:paraId="1407054B"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lastRenderedPageBreak/>
        <w:t>Екологичната законова рамка при експлоатацията на Големи горивни инсталации (ГГИ), с номинална входяща топлинна мощност от 50 MW или повече, каквато е Горивната инсталация на „ТЕЦ Марица изток 2“ ЕАД, е определена в следните Европейски документи:</w:t>
      </w:r>
    </w:p>
    <w:p w14:paraId="6C62BF8C"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w:t>
      </w:r>
      <w:r w:rsidRPr="00D71840">
        <w:rPr>
          <w:rFonts w:ascii="Times New Roman" w:hAnsi="Times New Roman" w:cs="Times New Roman"/>
          <w:sz w:val="24"/>
          <w:szCs w:val="24"/>
        </w:rPr>
        <w:tab/>
        <w:t>Директива 2010/75/ЕС на Европейския парламент и на Съвета от 24 ноември 2010 г. относно емисиите от промишлеността (комплексно предотвратяване и контрол на замърсяването).</w:t>
      </w:r>
    </w:p>
    <w:p w14:paraId="235B4BA2"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w:t>
      </w:r>
      <w:r w:rsidRPr="00D71840">
        <w:rPr>
          <w:rFonts w:ascii="Times New Roman" w:hAnsi="Times New Roman" w:cs="Times New Roman"/>
          <w:sz w:val="24"/>
          <w:szCs w:val="24"/>
        </w:rPr>
        <w:tab/>
        <w:t xml:space="preserve">Решение за изпълнение (ЕС) 2017/1442 на Комисията от 31 юли 2017 година за формулиране на заключения за най-добри налични техники (НДНТ) за големи горивни инсталации съгласно Директива 2010/75/ЕС на Европейския парламент и на Съвета </w:t>
      </w:r>
    </w:p>
    <w:p w14:paraId="5EA3F765"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 xml:space="preserve">Със Закона за енергетиката са въведени изискванията на Третия </w:t>
      </w:r>
      <w:proofErr w:type="spellStart"/>
      <w:r w:rsidRPr="00D71840">
        <w:rPr>
          <w:rFonts w:ascii="Times New Roman" w:hAnsi="Times New Roman" w:cs="Times New Roman"/>
          <w:sz w:val="24"/>
          <w:szCs w:val="24"/>
        </w:rPr>
        <w:t>либерализационен</w:t>
      </w:r>
      <w:proofErr w:type="spellEnd"/>
      <w:r w:rsidRPr="00D71840">
        <w:rPr>
          <w:rFonts w:ascii="Times New Roman" w:hAnsi="Times New Roman" w:cs="Times New Roman"/>
          <w:sz w:val="24"/>
          <w:szCs w:val="24"/>
        </w:rPr>
        <w:t xml:space="preserve"> пакет на Европейската комисия. Целта е да се направи енергийният пазар напълно ефективен и да се създаде единен европейски пазар за газ и електроенергия. Това ще увеличи стандарта на услугите и сигурността на доставките. Пакетът се състои от две директиви, първата е  относно общите правила за вътрешния пазар на природен газ (2009/73/ЕО), а втората директива е относно общите правила за вътрешния пазар на електроенергия 2009/72/ЕО) и три регламента, единият определя условията за достъп до газопреносни мрежи ((ЕО) № 715/2009), вторият  условията за достъп до мрежата за трансграничен обмен на електроенергия ((ЕО) № 714/2009) и третият  за създаване на агенция за сътрудничество между енергийните регулатори ((ЕО) № 713/2009). Регламент ЕС 2015/1222 от 24 юли 2015 г. установява насоки относно разпределянето на преносната способност и управлението на </w:t>
      </w:r>
      <w:proofErr w:type="spellStart"/>
      <w:r w:rsidRPr="00D71840">
        <w:rPr>
          <w:rFonts w:ascii="Times New Roman" w:hAnsi="Times New Roman" w:cs="Times New Roman"/>
          <w:sz w:val="24"/>
          <w:szCs w:val="24"/>
        </w:rPr>
        <w:t>пренатоварването</w:t>
      </w:r>
      <w:proofErr w:type="spellEnd"/>
      <w:r w:rsidRPr="00D71840">
        <w:rPr>
          <w:rFonts w:ascii="Times New Roman" w:hAnsi="Times New Roman" w:cs="Times New Roman"/>
          <w:sz w:val="24"/>
          <w:szCs w:val="24"/>
        </w:rPr>
        <w:t xml:space="preserve">, а Регламент ЕС 347/2013 на Европейския парламент и на Съвета от 17 април 2013 г. дава указания за развитие на </w:t>
      </w:r>
      <w:proofErr w:type="spellStart"/>
      <w:r w:rsidRPr="00D71840">
        <w:rPr>
          <w:rFonts w:ascii="Times New Roman" w:hAnsi="Times New Roman" w:cs="Times New Roman"/>
          <w:sz w:val="24"/>
          <w:szCs w:val="24"/>
        </w:rPr>
        <w:t>трансевропейската</w:t>
      </w:r>
      <w:proofErr w:type="spellEnd"/>
      <w:r w:rsidRPr="00D71840">
        <w:rPr>
          <w:rFonts w:ascii="Times New Roman" w:hAnsi="Times New Roman" w:cs="Times New Roman"/>
          <w:sz w:val="24"/>
          <w:szCs w:val="24"/>
        </w:rPr>
        <w:t xml:space="preserve"> енергийна инфраструктура, отменя Решение № 1364/2006/ЕО и изменя регламенти ЕО № 713/2009, ЕО № 714/2009 и ЕО № 715/2009.</w:t>
      </w:r>
    </w:p>
    <w:p w14:paraId="5356D859"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Направените изменения в регламентите, са свързани с очертаване на общи насоки за страните членки на ЕС за постигане на устойчиво развитие, конкурентоспособност и сигурност на енергийните доставки, като част от общата енергийна политика. Отчетена е необходимостта от модернизиране и разширяване на европейската енергийна инфраструктура и от трансграничното свързване на енергийните мрежи, с цел постигане на действаща солидарност между държавите членки, да се предвидят алтернативни маршрути за доставка или транзит и алтернативни източници на енергия, както и да се разработят възобновяеми енергийни източници, в конкуренция с традиционните източници. Общо европейската нормативна рамка също така определя, че след  2015 г., нито една държава членка не трябва да бъде изолирана от европейските електроенергийни и газови мрежи или да бъде застрашена по отношение на енергийната си сигурност поради липса на енергийни връзки.</w:t>
      </w:r>
    </w:p>
    <w:p w14:paraId="45B6B56F"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Ангажиментът на страната ни по отношение на цитираните по-горе насоки са свързани с разработване на програма за справяне с предизвикателствата в тази област, като следва да се отдели надлежно внимание върху определянето на потенциални бъдещи несъответствия между търсенето и предлагането на енергия.</w:t>
      </w:r>
    </w:p>
    <w:p w14:paraId="0D5B3AC5" w14:textId="77777777" w:rsid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 xml:space="preserve">Въпреки факта, че към настоящият момент страната ни е положила усилия за либерализиране на пазара на електрическа енергия и природен газ, крайната цел заложена в Директива 2009/72/ЕО за постигане на интегриран вътрешен пазар, все още не е постигната напълно. Този пазар все още е фрагментиран, поради недостатъчните </w:t>
      </w:r>
      <w:proofErr w:type="spellStart"/>
      <w:r w:rsidRPr="00D71840">
        <w:rPr>
          <w:rFonts w:ascii="Times New Roman" w:hAnsi="Times New Roman" w:cs="Times New Roman"/>
          <w:sz w:val="24"/>
          <w:szCs w:val="24"/>
        </w:rPr>
        <w:t>междусистемни</w:t>
      </w:r>
      <w:proofErr w:type="spellEnd"/>
      <w:r w:rsidRPr="00D71840">
        <w:rPr>
          <w:rFonts w:ascii="Times New Roman" w:hAnsi="Times New Roman" w:cs="Times New Roman"/>
          <w:sz w:val="24"/>
          <w:szCs w:val="24"/>
        </w:rPr>
        <w:t xml:space="preserve"> връзки между националните енергийни мрежи. При все това, наличието </w:t>
      </w:r>
      <w:r w:rsidRPr="00D71840">
        <w:rPr>
          <w:rFonts w:ascii="Times New Roman" w:hAnsi="Times New Roman" w:cs="Times New Roman"/>
          <w:sz w:val="24"/>
          <w:szCs w:val="24"/>
        </w:rPr>
        <w:lastRenderedPageBreak/>
        <w:t>на интегрирани в рамките на целия Съюз мрежи и изграждането на интелигентни електроенергийни мрежи са от жизненоважно значение за осигуряване на конкурентен и правилно функциониращ интегриран пазар, за постигане на оптимално използване на енергийната инфраструктура, за повишаване на енергийната ефективност, за интегриране на децентрализираните възобновяеми източници на енергия и за насърчаване на растежа, заетостта и устойчивото развитие.</w:t>
      </w:r>
    </w:p>
    <w:p w14:paraId="7FEA4A11"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 xml:space="preserve">Развитието на либерализирания електроенергиен пазар у нас се извършва плавно и поетапно, в съответствие с поетите ангажименти на страната ни като държава-членка на ЕС. Все още паралелно продължават да функционират два пазарни сегмента – по регулирани и свободно договорени цени за енергия. През последните няколко години се налице необходимите законодателни и административни действия за преминаване към постепенна </w:t>
      </w:r>
      <w:proofErr w:type="spellStart"/>
      <w:r w:rsidRPr="00D71840">
        <w:rPr>
          <w:rFonts w:ascii="Times New Roman" w:hAnsi="Times New Roman" w:cs="Times New Roman"/>
          <w:sz w:val="24"/>
          <w:szCs w:val="24"/>
        </w:rPr>
        <w:t>дерегулация</w:t>
      </w:r>
      <w:proofErr w:type="spellEnd"/>
      <w:r w:rsidRPr="00D71840">
        <w:rPr>
          <w:rFonts w:ascii="Times New Roman" w:hAnsi="Times New Roman" w:cs="Times New Roman"/>
          <w:sz w:val="24"/>
          <w:szCs w:val="24"/>
        </w:rPr>
        <w:t xml:space="preserve"> на цените за енергия, като същевременно пазарният модел търпи непрекъсната актуализация. Преминаването към напълно либерализиран пазар на енергия обаче, е свързано с основно преразглеждане на взаимоотношенията между пазарните участници и установяване на стабилен и ефективен нов пазарен модел, който да осигури конкурентоспособността на българските производители на електрическа енергия, както и да гарантира сигурността на доставките на електрическа енергия.</w:t>
      </w:r>
    </w:p>
    <w:p w14:paraId="5A285859"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 xml:space="preserve">Частичните промени в Закона за енергетиката и подзаконовите актове към него, през последните няколко години, създават несигурна среда по отношение планирането на приходите на дружеството. Актуализацията на чл. 21, т. 21 в ЗЕ от 8 май 2018 г. постави нов регламент за участие на производителите на електрическа енергия в квотата на Обществения доставчик. Той предвижда участие в квотата за енергия, необходима за нуждите на регулирания пазар само на производители, чиято заявена цена за енергия не надвишава с повече от 10 на сто прогнозната пазарна цена за регулаторния период, изчислена от КЕВР. Тази ограничителна мярка не важи за производителите сключили дългосрочни договори за изкупуване на електрическа енергия, високо ефективното комбинирано производството и производството на енергия от възобновяеми източници. Повишените цени на квотите за емисии през 2019 г., 2020 г., както и от началото на 2021 г. на международните пазари, рефлектира пряко върху себестойността на произвежданата от „ТЕЦ Марица изток 2“ЕАД, </w:t>
      </w:r>
      <w:r w:rsidRPr="00613D5D">
        <w:rPr>
          <w:rFonts w:ascii="Times New Roman" w:hAnsi="Times New Roman" w:cs="Times New Roman"/>
          <w:sz w:val="24"/>
          <w:szCs w:val="24"/>
        </w:rPr>
        <w:t>поради което изчислената от КЕВР цена на електрическата енергия за текущия регулаторен период не покрива изискването за не повече от 10 на сто превишение над средната пазарна цена.</w:t>
      </w:r>
      <w:r w:rsidRPr="00D71840">
        <w:rPr>
          <w:rFonts w:ascii="Times New Roman" w:hAnsi="Times New Roman" w:cs="Times New Roman"/>
          <w:sz w:val="24"/>
          <w:szCs w:val="24"/>
        </w:rPr>
        <w:t xml:space="preserve"> При определяне на цената на „ТЕЦ Марица изток 2“ ЕАД, както и на другите производители на ел. енергия за настоящия регулаторен период, КЕВР използва цена на квотите за парникови газове в размер на 22 евро/тон. Цените на същите в началото на 2021 г. надвишиха 42 евро/тон.  </w:t>
      </w:r>
    </w:p>
    <w:p w14:paraId="58D23701" w14:textId="77777777" w:rsidR="00D71840" w:rsidRP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 xml:space="preserve">Промените в Закона за енергетиката (ЗЕ), приети с ДВ бр. 57 от 26.06.2020 г. предвиждат либерализация на цените на електрическата енергия за всички небитови клиенти да приключи до 1 юли 2021 г. В тази връзка, бяха предприети действия за осигуряване на необходимите условия за преминаване на малките бизнес клиенти, присъединени на ниско напрежение да направят информиран избор за смяна на доставчика. </w:t>
      </w:r>
    </w:p>
    <w:p w14:paraId="1395180D" w14:textId="38718DC4" w:rsidR="00D71840" w:rsidRDefault="00D71840" w:rsidP="001365A2">
      <w:pPr>
        <w:spacing w:after="120" w:line="240" w:lineRule="auto"/>
        <w:jc w:val="both"/>
        <w:rPr>
          <w:rFonts w:ascii="Times New Roman" w:hAnsi="Times New Roman" w:cs="Times New Roman"/>
          <w:sz w:val="24"/>
          <w:szCs w:val="24"/>
        </w:rPr>
      </w:pPr>
      <w:r w:rsidRPr="00D71840">
        <w:rPr>
          <w:rFonts w:ascii="Times New Roman" w:hAnsi="Times New Roman" w:cs="Times New Roman"/>
          <w:sz w:val="24"/>
          <w:szCs w:val="24"/>
        </w:rPr>
        <w:t xml:space="preserve">В случай, че в края на преходния период останат клиенти, които не извършили процедурата по преминаване от регулиран към свободен пазар, то те ще бъдат снабдявани с електроенергия от доставчик от последна инстанция (ДПИ). Преминаването на „небитовите“ клиенти, присъединени на ниско напрежение е необходима стъпка за завършване на процеса по пълна либерализация на пазара на едро. </w:t>
      </w:r>
      <w:r w:rsidR="00613D5D" w:rsidRPr="00610788">
        <w:rPr>
          <w:rFonts w:ascii="Times New Roman" w:hAnsi="Times New Roman" w:cs="Times New Roman"/>
          <w:sz w:val="24"/>
          <w:szCs w:val="24"/>
        </w:rPr>
        <w:t>…</w:t>
      </w:r>
      <w:r w:rsidR="00613D5D">
        <w:rPr>
          <w:rFonts w:ascii="Times New Roman" w:hAnsi="Times New Roman" w:cs="Times New Roman"/>
          <w:sz w:val="24"/>
          <w:szCs w:val="24"/>
        </w:rPr>
        <w:t>…………………………………………………………………………………….</w:t>
      </w:r>
    </w:p>
    <w:p w14:paraId="59C879C5" w14:textId="5D7289EE" w:rsidR="00F25212" w:rsidRP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lastRenderedPageBreak/>
        <w:t>С Решение № Ц – 29/01.07.2020 г., КЕВР отказва да утвърди регулирана цена на „ТЕЦ Марица изток 2“</w:t>
      </w:r>
      <w:r w:rsidR="00193A4A">
        <w:rPr>
          <w:rFonts w:ascii="Times New Roman" w:hAnsi="Times New Roman" w:cs="Times New Roman"/>
          <w:sz w:val="24"/>
          <w:szCs w:val="24"/>
        </w:rPr>
        <w:t xml:space="preserve"> </w:t>
      </w:r>
      <w:r w:rsidRPr="00F25212">
        <w:rPr>
          <w:rFonts w:ascii="Times New Roman" w:hAnsi="Times New Roman" w:cs="Times New Roman"/>
          <w:sz w:val="24"/>
          <w:szCs w:val="24"/>
        </w:rPr>
        <w:t>ЕАД за участие на регулиран пазар на квотен принцип, тъй като изчислената цена за регулаторния период е в размер на 135,95 лв./</w:t>
      </w:r>
      <w:proofErr w:type="spellStart"/>
      <w:r w:rsidRPr="00F25212">
        <w:rPr>
          <w:rFonts w:ascii="Times New Roman" w:hAnsi="Times New Roman" w:cs="Times New Roman"/>
          <w:sz w:val="24"/>
          <w:szCs w:val="24"/>
        </w:rPr>
        <w:t>МВтч</w:t>
      </w:r>
      <w:proofErr w:type="spellEnd"/>
      <w:r w:rsidRPr="00F25212">
        <w:rPr>
          <w:rFonts w:ascii="Times New Roman" w:hAnsi="Times New Roman" w:cs="Times New Roman"/>
          <w:sz w:val="24"/>
          <w:szCs w:val="24"/>
        </w:rPr>
        <w:t xml:space="preserve">, без ДДС и е значително по-висока от прогнозната средна пазарна цена за периода 01.07.2020 – 30.06.2021 г. Изложените аргументи от комисията, с които отказва утвърждаването на </w:t>
      </w:r>
      <w:proofErr w:type="spellStart"/>
      <w:r w:rsidRPr="00F25212">
        <w:rPr>
          <w:rFonts w:ascii="Times New Roman" w:hAnsi="Times New Roman" w:cs="Times New Roman"/>
          <w:sz w:val="24"/>
          <w:szCs w:val="24"/>
        </w:rPr>
        <w:t>разполагаемост</w:t>
      </w:r>
      <w:proofErr w:type="spellEnd"/>
      <w:r w:rsidRPr="00F25212">
        <w:rPr>
          <w:rFonts w:ascii="Times New Roman" w:hAnsi="Times New Roman" w:cs="Times New Roman"/>
          <w:sz w:val="24"/>
          <w:szCs w:val="24"/>
        </w:rPr>
        <w:t xml:space="preserve"> на „ТЕЦ Марица изток 2“ЕАД по реда на чл. 21, ал. 1, т. 21, изр. 2 и чл. 24, ал. 2 от ЗЕ имат единствено икономически характер, без да отразявате спецификите на техническото управление на електроенергийната система, сигурността на доставките на енергийни услуги, както на регулирания, така и на свободния пазар. Изложените мотиви от страна на КЕВР в ценовото решение за текущия регулаторен период са както следва:</w:t>
      </w:r>
    </w:p>
    <w:p w14:paraId="7AF46C9B" w14:textId="77777777" w:rsidR="00600AC9" w:rsidRPr="008F2E7C" w:rsidRDefault="00F25212" w:rsidP="001365A2">
      <w:pPr>
        <w:spacing w:after="120" w:line="240" w:lineRule="auto"/>
        <w:jc w:val="both"/>
        <w:rPr>
          <w:rFonts w:ascii="Times New Roman" w:hAnsi="Times New Roman" w:cs="Times New Roman"/>
          <w:i/>
        </w:rPr>
      </w:pPr>
      <w:r w:rsidRPr="008F2E7C">
        <w:rPr>
          <w:rFonts w:ascii="Times New Roman" w:hAnsi="Times New Roman" w:cs="Times New Roman"/>
          <w:i/>
        </w:rPr>
        <w:t xml:space="preserve">„Допълнителен аргумент в тази връзка може да се изведе от изискванията на чл. 23 и чл. 24 от ЗЕ, съгласно които Комисията следва да осигури условия за развитие на конкурентни и добре функциониращи регионални пазари в рамките на Европейския съюз, предотвратяване и недопускане на ограничаване или нарушаване конкуренцията на енергийния пазар, като едновременно с това осигури балансирано изменение на цените за крайните клиенти. Както е посочено по-долу, в микса на НЕК ЕАД попадат цялото изкупувано по преференциални цени количество електрическа енергия, произведена от възобновяеми източници и от високоефективно комбинирано производство на електрическа и топлинна енергия от централи с обща инсталирана електрическа мощност по-малка от 1 MW, електрическата енергия по договори за дългосрочно изкупуване на </w:t>
      </w:r>
      <w:proofErr w:type="spellStart"/>
      <w:r w:rsidRPr="008F2E7C">
        <w:rPr>
          <w:rFonts w:ascii="Times New Roman" w:hAnsi="Times New Roman" w:cs="Times New Roman"/>
          <w:i/>
        </w:rPr>
        <w:t>разполагаемост</w:t>
      </w:r>
      <w:proofErr w:type="spellEnd"/>
      <w:r w:rsidRPr="008F2E7C">
        <w:rPr>
          <w:rFonts w:ascii="Times New Roman" w:hAnsi="Times New Roman" w:cs="Times New Roman"/>
          <w:i/>
        </w:rPr>
        <w:t xml:space="preserve"> и електрическа енергия, както и количеството, определено по реда на чл. 4, ал. 2, т. 8 от ЗЕ. Предвид очакваната пазарна цена на електрическата енергия за периода 01.07.2020 г. – 30.06.2021 г. в размер на 90,00 лв./</w:t>
      </w:r>
      <w:proofErr w:type="spellStart"/>
      <w:r w:rsidRPr="008F2E7C">
        <w:rPr>
          <w:rFonts w:ascii="Times New Roman" w:hAnsi="Times New Roman" w:cs="Times New Roman"/>
          <w:i/>
        </w:rPr>
        <w:t>MWh</w:t>
      </w:r>
      <w:proofErr w:type="spellEnd"/>
      <w:r w:rsidRPr="008F2E7C">
        <w:rPr>
          <w:rFonts w:ascii="Times New Roman" w:hAnsi="Times New Roman" w:cs="Times New Roman"/>
          <w:i/>
        </w:rPr>
        <w:t xml:space="preserve">, е обосновано миксът на обществения доставчик да се допълва с електрическа енергия по цени близки или по-ниски от тези на пазара. Обратното би означавало, че на производителите с регулирани цени, по-високи от пазарните, се осигурява конкурентно предимство, тъй като продавайки на обществения доставчик на по-високи цени ще имат възможност да предлагат на свободния пазар количества на по-ниски цени от тези на останалите пазарни участници, което е в противоречие с принципите по чл. 23, т. 2 – т. 6 от ЗЕ. В тази връзка определянето на количества на ВЕЦ, собственост на НЕК ЕАД и </w:t>
      </w:r>
      <w:proofErr w:type="spellStart"/>
      <w:r w:rsidRPr="008F2E7C">
        <w:rPr>
          <w:rFonts w:ascii="Times New Roman" w:hAnsi="Times New Roman" w:cs="Times New Roman"/>
          <w:i/>
        </w:rPr>
        <w:t>разполагаемост</w:t>
      </w:r>
      <w:proofErr w:type="spellEnd"/>
      <w:r w:rsidRPr="008F2E7C">
        <w:rPr>
          <w:rFonts w:ascii="Times New Roman" w:hAnsi="Times New Roman" w:cs="Times New Roman"/>
          <w:i/>
        </w:rPr>
        <w:t xml:space="preserve"> на „АЕЦ Козлодуй“ ЕАД и „ТЕЦ Бобов дол“ ЕАД е с оглед значително по-ниските цени на тези производители, спрямо предложените такива от „ТЕЦ Марица изток 2“ ЕАД. За последното дружество не може да бъде определена </w:t>
      </w:r>
      <w:proofErr w:type="spellStart"/>
      <w:r w:rsidRPr="008F2E7C">
        <w:rPr>
          <w:rFonts w:ascii="Times New Roman" w:hAnsi="Times New Roman" w:cs="Times New Roman"/>
          <w:i/>
        </w:rPr>
        <w:t>разполагаемост</w:t>
      </w:r>
      <w:proofErr w:type="spellEnd"/>
      <w:r w:rsidRPr="008F2E7C">
        <w:rPr>
          <w:rFonts w:ascii="Times New Roman" w:hAnsi="Times New Roman" w:cs="Times New Roman"/>
          <w:i/>
        </w:rPr>
        <w:t xml:space="preserve"> за производство на електрическа енергия за изкупуване от обществения доставчик, тъй като видно от аргументите по-горе по т. II. неговата регулирана цена би била с повече от 10 на сто от прогнозната пазарна цена по т. I. по-горе – </w:t>
      </w:r>
      <w:proofErr w:type="spellStart"/>
      <w:r w:rsidRPr="008F2E7C">
        <w:rPr>
          <w:rFonts w:ascii="Times New Roman" w:hAnsi="Times New Roman" w:cs="Times New Roman"/>
          <w:i/>
        </w:rPr>
        <w:t>арг</w:t>
      </w:r>
      <w:proofErr w:type="spellEnd"/>
      <w:r w:rsidRPr="008F2E7C">
        <w:rPr>
          <w:rFonts w:ascii="Times New Roman" w:hAnsi="Times New Roman" w:cs="Times New Roman"/>
          <w:i/>
        </w:rPr>
        <w:t>. от чл. 21, ал. 1, т. 21, изр. 2 от ЗЕ.</w:t>
      </w:r>
    </w:p>
    <w:p w14:paraId="0DF761AF" w14:textId="77777777" w:rsidR="00F25212" w:rsidRPr="008F2E7C" w:rsidRDefault="00F25212" w:rsidP="001365A2">
      <w:pPr>
        <w:spacing w:after="120" w:line="240" w:lineRule="auto"/>
        <w:jc w:val="both"/>
        <w:rPr>
          <w:rFonts w:ascii="Times New Roman" w:hAnsi="Times New Roman" w:cs="Times New Roman"/>
          <w:i/>
        </w:rPr>
      </w:pPr>
      <w:r w:rsidRPr="008F2E7C">
        <w:rPr>
          <w:rFonts w:ascii="Times New Roman" w:hAnsi="Times New Roman" w:cs="Times New Roman"/>
          <w:i/>
        </w:rPr>
        <w:t xml:space="preserve">Предвид горните аргументи, следва да бъдат определени </w:t>
      </w:r>
      <w:proofErr w:type="spellStart"/>
      <w:r w:rsidRPr="008F2E7C">
        <w:rPr>
          <w:rFonts w:ascii="Times New Roman" w:hAnsi="Times New Roman" w:cs="Times New Roman"/>
          <w:i/>
        </w:rPr>
        <w:t>разполагаемост</w:t>
      </w:r>
      <w:proofErr w:type="spellEnd"/>
      <w:r w:rsidRPr="008F2E7C">
        <w:rPr>
          <w:rFonts w:ascii="Times New Roman" w:hAnsi="Times New Roman" w:cs="Times New Roman"/>
          <w:i/>
        </w:rPr>
        <w:t>, съответно количества електрическа енергия за „АЕЦ Козлодуй“ ЕАД, ВЕЦ, собственост на НЕК ЕАД и „ТЕЦ Бобов дол“ ЕАД, тъй като от една страна същите не попадат в обхвата на чл. 21, ал. 1, т. 21, изр. 2 от ЗЕ, а от друга за тях са приложими критериите по чл. 24, ал. 2 от ЗЕ за по-ниска цена, сезонност и покриване на върхови товари.“</w:t>
      </w:r>
    </w:p>
    <w:p w14:paraId="666B354A" w14:textId="77777777" w:rsidR="00F25212" w:rsidRP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Определянето на квоти за регулирания пазар за производителите, единствено на база „цена на произвежданата електроенергия“ крие рискове, свързани с техническото управление на електроенергийната система и доставката на енергийни услуги, както за клиентите на регулиран, така и за клиентите на свободен пазар. От друга страна, „НЕК“ ЕАД, в качеството си на обществен доставчик и страна по сключените дългосрочни договори за изкупуване на електрическа енергия от „ЕЙ И ЕС Марица изток 1“ ЕООД и „</w:t>
      </w:r>
      <w:proofErr w:type="spellStart"/>
      <w:r w:rsidRPr="00F25212">
        <w:rPr>
          <w:rFonts w:ascii="Times New Roman" w:hAnsi="Times New Roman" w:cs="Times New Roman"/>
          <w:sz w:val="24"/>
          <w:szCs w:val="24"/>
        </w:rPr>
        <w:t>КонтурГлобал</w:t>
      </w:r>
      <w:proofErr w:type="spellEnd"/>
      <w:r w:rsidRPr="00F25212">
        <w:rPr>
          <w:rFonts w:ascii="Times New Roman" w:hAnsi="Times New Roman" w:cs="Times New Roman"/>
          <w:sz w:val="24"/>
          <w:szCs w:val="24"/>
        </w:rPr>
        <w:t xml:space="preserve"> Марица изток 3“ АД има право да реализира енергията както на регулиран, така и на свободен пазар чрез БНЕБ. В тази връзка, сигурността на </w:t>
      </w:r>
      <w:r w:rsidRPr="00F25212">
        <w:rPr>
          <w:rFonts w:ascii="Times New Roman" w:hAnsi="Times New Roman" w:cs="Times New Roman"/>
          <w:sz w:val="24"/>
          <w:szCs w:val="24"/>
        </w:rPr>
        <w:lastRenderedPageBreak/>
        <w:t>електроенергийната система следва да е приоритет, като се предприемат мерки за дългосрочно балансиране на електропроизводствения микс у нас.</w:t>
      </w:r>
    </w:p>
    <w:p w14:paraId="39E832FF" w14:textId="77777777" w:rsid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 xml:space="preserve">В решение на Народното събрание от 31.01.2020 г. е посочено, че следва да се предприемат всички необходими мерки за недопускане в дългосрочен план прекратяване на функционирането и/или ограничаването на производствения капацитет на въглищните топлоелектрически централи от групата на „Български енергиен холдинг“ ЕАД и на основание чл. 4, ал. 2, т. 8 от Закона за енергетиката и чл. 25, ал. 4 от Закона за администрацията, с оглед сигурността на снабдяването с електрическа енергия на територията на страната. Решението е взето въз основа на направен анализ и предложение в доклад № E-93-00-929 от 25.06.2020 г. на работна група, назначена със Заповед № Е-РД-16-228 от 09.06.2020 г. на министъра на енергетиката. В тази връзка, със Заповед № Е-РД-16-295 от 25.06.2020 г., на министъра на енергетиката е определена задължителна квота от 2 600 000 </w:t>
      </w:r>
      <w:proofErr w:type="spellStart"/>
      <w:r w:rsidRPr="00F25212">
        <w:rPr>
          <w:rFonts w:ascii="Times New Roman" w:hAnsi="Times New Roman" w:cs="Times New Roman"/>
          <w:sz w:val="24"/>
          <w:szCs w:val="24"/>
        </w:rPr>
        <w:t>МВтч</w:t>
      </w:r>
      <w:proofErr w:type="spellEnd"/>
      <w:r w:rsidRPr="00F25212">
        <w:rPr>
          <w:rFonts w:ascii="Times New Roman" w:hAnsi="Times New Roman" w:cs="Times New Roman"/>
          <w:sz w:val="24"/>
          <w:szCs w:val="24"/>
        </w:rPr>
        <w:t>, която следва да гарантира сигурността на електроенергийната система и по силата на чл. 93а, ал. 1, т. 3 от ЗЕ тази обща годишна квота следва да бъде изкупена от обществения доставчик.</w:t>
      </w:r>
    </w:p>
    <w:p w14:paraId="1BF935AF" w14:textId="77777777" w:rsidR="00F25212" w:rsidRP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 xml:space="preserve">Предвид обстоятелството, че количествата електрическа енергия, които общественият доставчик е задължен да изкупи по чл. 93а и чл. 94 от ЗЕ, покриват потреблението на клиентите на крайните снабдители, както и спецификата на товарите, които осигуряват, е обосновано да бъдат определени количества електрическа енергия, които НЕК ЕАД ще реализира както на регулирания, така и на организирания борсов пазар. </w:t>
      </w:r>
    </w:p>
    <w:p w14:paraId="428D3445" w14:textId="77777777" w:rsidR="00F25212" w:rsidRP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 xml:space="preserve">Въз основа на гореизложеното за текущия регулаторен период КЕВР е утвърдила квота за осигуряване потреблението на крайните снабдители за регулиран пазар, като участието на „ТЕЦ Марица изток 2“ЕАД в регулирания енергиен микс е със 2 600 000 </w:t>
      </w:r>
      <w:proofErr w:type="spellStart"/>
      <w:r w:rsidRPr="00F25212">
        <w:rPr>
          <w:rFonts w:ascii="Times New Roman" w:hAnsi="Times New Roman" w:cs="Times New Roman"/>
          <w:sz w:val="24"/>
          <w:szCs w:val="24"/>
        </w:rPr>
        <w:t>МВтч</w:t>
      </w:r>
      <w:proofErr w:type="spellEnd"/>
      <w:r w:rsidRPr="00F25212">
        <w:rPr>
          <w:rFonts w:ascii="Times New Roman" w:hAnsi="Times New Roman" w:cs="Times New Roman"/>
          <w:sz w:val="24"/>
          <w:szCs w:val="24"/>
        </w:rPr>
        <w:t>, при изчислена цена за регулаторни цели в размер на 135,95 лв./</w:t>
      </w:r>
      <w:proofErr w:type="spellStart"/>
      <w:r w:rsidRPr="00F25212">
        <w:rPr>
          <w:rFonts w:ascii="Times New Roman" w:hAnsi="Times New Roman" w:cs="Times New Roman"/>
          <w:sz w:val="24"/>
          <w:szCs w:val="24"/>
        </w:rPr>
        <w:t>МВтч</w:t>
      </w:r>
      <w:proofErr w:type="spellEnd"/>
      <w:r w:rsidRPr="00F25212">
        <w:rPr>
          <w:rFonts w:ascii="Times New Roman" w:hAnsi="Times New Roman" w:cs="Times New Roman"/>
          <w:sz w:val="24"/>
          <w:szCs w:val="24"/>
        </w:rPr>
        <w:t>.</w:t>
      </w:r>
    </w:p>
    <w:p w14:paraId="3E1B0FA9" w14:textId="77777777" w:rsidR="00F25212" w:rsidRP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 xml:space="preserve">Разпределението на тази квота, в </w:t>
      </w:r>
      <w:proofErr w:type="spellStart"/>
      <w:r w:rsidRPr="00F25212">
        <w:rPr>
          <w:rFonts w:ascii="Times New Roman" w:hAnsi="Times New Roman" w:cs="Times New Roman"/>
          <w:sz w:val="24"/>
          <w:szCs w:val="24"/>
        </w:rPr>
        <w:t>М</w:t>
      </w:r>
      <w:r>
        <w:rPr>
          <w:rFonts w:ascii="Times New Roman" w:hAnsi="Times New Roman" w:cs="Times New Roman"/>
          <w:sz w:val="24"/>
          <w:szCs w:val="24"/>
        </w:rPr>
        <w:t>В</w:t>
      </w:r>
      <w:r w:rsidRPr="00F25212">
        <w:rPr>
          <w:rFonts w:ascii="Times New Roman" w:hAnsi="Times New Roman" w:cs="Times New Roman"/>
          <w:sz w:val="24"/>
          <w:szCs w:val="24"/>
        </w:rPr>
        <w:t>тч</w:t>
      </w:r>
      <w:proofErr w:type="spellEnd"/>
      <w:r w:rsidRPr="00F25212">
        <w:rPr>
          <w:rFonts w:ascii="Times New Roman" w:hAnsi="Times New Roman" w:cs="Times New Roman"/>
          <w:sz w:val="24"/>
          <w:szCs w:val="24"/>
        </w:rPr>
        <w:t xml:space="preserve"> за регулаторния период е както следва:</w:t>
      </w:r>
    </w:p>
    <w:tbl>
      <w:tblPr>
        <w:tblStyle w:val="TableGrid"/>
        <w:tblW w:w="0" w:type="auto"/>
        <w:tblLook w:val="04A0" w:firstRow="1" w:lastRow="0" w:firstColumn="1" w:lastColumn="0" w:noHBand="0" w:noVBand="1"/>
      </w:tblPr>
      <w:tblGrid>
        <w:gridCol w:w="1510"/>
        <w:gridCol w:w="1510"/>
        <w:gridCol w:w="1510"/>
        <w:gridCol w:w="1510"/>
        <w:gridCol w:w="1511"/>
        <w:gridCol w:w="1511"/>
      </w:tblGrid>
      <w:tr w:rsidR="00F25212" w:rsidRPr="00F25212" w14:paraId="635333D1" w14:textId="77777777" w:rsidTr="00362960">
        <w:tc>
          <w:tcPr>
            <w:tcW w:w="1510" w:type="dxa"/>
          </w:tcPr>
          <w:p w14:paraId="2F34A302"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Юли, 2020</w:t>
            </w:r>
          </w:p>
        </w:tc>
        <w:tc>
          <w:tcPr>
            <w:tcW w:w="1510" w:type="dxa"/>
          </w:tcPr>
          <w:p w14:paraId="115E4AB0"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Август, 2020</w:t>
            </w:r>
          </w:p>
        </w:tc>
        <w:tc>
          <w:tcPr>
            <w:tcW w:w="1510" w:type="dxa"/>
          </w:tcPr>
          <w:p w14:paraId="6963F5EF" w14:textId="77777777" w:rsidR="00F25212" w:rsidRPr="00F25212" w:rsidRDefault="00F25212" w:rsidP="00362960">
            <w:pPr>
              <w:jc w:val="center"/>
              <w:rPr>
                <w:rFonts w:ascii="Times New Roman" w:hAnsi="Times New Roman" w:cs="Times New Roman"/>
                <w:sz w:val="20"/>
                <w:szCs w:val="20"/>
              </w:rPr>
            </w:pPr>
            <w:proofErr w:type="spellStart"/>
            <w:r w:rsidRPr="00F25212">
              <w:rPr>
                <w:rFonts w:ascii="Times New Roman" w:hAnsi="Times New Roman" w:cs="Times New Roman"/>
                <w:sz w:val="20"/>
                <w:szCs w:val="20"/>
              </w:rPr>
              <w:t>Септ</w:t>
            </w:r>
            <w:proofErr w:type="spellEnd"/>
            <w:r w:rsidRPr="00F25212">
              <w:rPr>
                <w:rFonts w:ascii="Times New Roman" w:hAnsi="Times New Roman" w:cs="Times New Roman"/>
                <w:sz w:val="20"/>
                <w:szCs w:val="20"/>
              </w:rPr>
              <w:t>, 2020</w:t>
            </w:r>
          </w:p>
        </w:tc>
        <w:tc>
          <w:tcPr>
            <w:tcW w:w="1510" w:type="dxa"/>
          </w:tcPr>
          <w:p w14:paraId="3ADED446" w14:textId="77777777" w:rsidR="00F25212" w:rsidRPr="00F25212" w:rsidRDefault="00F25212" w:rsidP="00362960">
            <w:pPr>
              <w:jc w:val="center"/>
              <w:rPr>
                <w:rFonts w:ascii="Times New Roman" w:hAnsi="Times New Roman" w:cs="Times New Roman"/>
                <w:sz w:val="20"/>
                <w:szCs w:val="20"/>
              </w:rPr>
            </w:pPr>
            <w:proofErr w:type="spellStart"/>
            <w:r w:rsidRPr="00F25212">
              <w:rPr>
                <w:rFonts w:ascii="Times New Roman" w:hAnsi="Times New Roman" w:cs="Times New Roman"/>
                <w:sz w:val="20"/>
                <w:szCs w:val="20"/>
              </w:rPr>
              <w:t>Окт</w:t>
            </w:r>
            <w:proofErr w:type="spellEnd"/>
            <w:r w:rsidRPr="00F25212">
              <w:rPr>
                <w:rFonts w:ascii="Times New Roman" w:hAnsi="Times New Roman" w:cs="Times New Roman"/>
                <w:sz w:val="20"/>
                <w:szCs w:val="20"/>
              </w:rPr>
              <w:t>, 2020</w:t>
            </w:r>
          </w:p>
        </w:tc>
        <w:tc>
          <w:tcPr>
            <w:tcW w:w="1511" w:type="dxa"/>
          </w:tcPr>
          <w:p w14:paraId="11826457" w14:textId="77777777" w:rsidR="00F25212" w:rsidRPr="00F25212" w:rsidRDefault="00F25212" w:rsidP="00362960">
            <w:pPr>
              <w:jc w:val="center"/>
              <w:rPr>
                <w:rFonts w:ascii="Times New Roman" w:hAnsi="Times New Roman" w:cs="Times New Roman"/>
                <w:sz w:val="20"/>
                <w:szCs w:val="20"/>
              </w:rPr>
            </w:pPr>
            <w:proofErr w:type="spellStart"/>
            <w:r w:rsidRPr="00F25212">
              <w:rPr>
                <w:rFonts w:ascii="Times New Roman" w:hAnsi="Times New Roman" w:cs="Times New Roman"/>
                <w:sz w:val="20"/>
                <w:szCs w:val="20"/>
              </w:rPr>
              <w:t>Ное</w:t>
            </w:r>
            <w:proofErr w:type="spellEnd"/>
            <w:r w:rsidRPr="00F25212">
              <w:rPr>
                <w:rFonts w:ascii="Times New Roman" w:hAnsi="Times New Roman" w:cs="Times New Roman"/>
                <w:sz w:val="20"/>
                <w:szCs w:val="20"/>
              </w:rPr>
              <w:t>, 2020</w:t>
            </w:r>
          </w:p>
        </w:tc>
        <w:tc>
          <w:tcPr>
            <w:tcW w:w="1511" w:type="dxa"/>
          </w:tcPr>
          <w:p w14:paraId="52500817"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Дек,2020</w:t>
            </w:r>
          </w:p>
        </w:tc>
      </w:tr>
      <w:tr w:rsidR="00F25212" w:rsidRPr="00F25212" w14:paraId="509082E4" w14:textId="77777777" w:rsidTr="00362960">
        <w:tc>
          <w:tcPr>
            <w:tcW w:w="1510" w:type="dxa"/>
          </w:tcPr>
          <w:p w14:paraId="09F7D47C"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223 200</w:t>
            </w:r>
          </w:p>
        </w:tc>
        <w:tc>
          <w:tcPr>
            <w:tcW w:w="1510" w:type="dxa"/>
          </w:tcPr>
          <w:p w14:paraId="039F60AF"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223 200</w:t>
            </w:r>
          </w:p>
        </w:tc>
        <w:tc>
          <w:tcPr>
            <w:tcW w:w="1510" w:type="dxa"/>
          </w:tcPr>
          <w:p w14:paraId="144CBF91"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216 000</w:t>
            </w:r>
          </w:p>
        </w:tc>
        <w:tc>
          <w:tcPr>
            <w:tcW w:w="1510" w:type="dxa"/>
          </w:tcPr>
          <w:p w14:paraId="5F5DD4AC"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260 750</w:t>
            </w:r>
          </w:p>
        </w:tc>
        <w:tc>
          <w:tcPr>
            <w:tcW w:w="1511" w:type="dxa"/>
          </w:tcPr>
          <w:p w14:paraId="2DB4B0C3"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252 000</w:t>
            </w:r>
          </w:p>
        </w:tc>
        <w:tc>
          <w:tcPr>
            <w:tcW w:w="1511" w:type="dxa"/>
          </w:tcPr>
          <w:p w14:paraId="07EE005C"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260 400</w:t>
            </w:r>
          </w:p>
        </w:tc>
      </w:tr>
    </w:tbl>
    <w:p w14:paraId="52FA4AE1" w14:textId="77777777" w:rsidR="00F25212" w:rsidRPr="00F25212" w:rsidRDefault="00F25212" w:rsidP="00362960">
      <w:pPr>
        <w:jc w:val="cente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510"/>
        <w:gridCol w:w="1510"/>
        <w:gridCol w:w="1510"/>
        <w:gridCol w:w="1510"/>
        <w:gridCol w:w="1511"/>
        <w:gridCol w:w="1511"/>
      </w:tblGrid>
      <w:tr w:rsidR="00F25212" w:rsidRPr="00F25212" w14:paraId="654C10C5" w14:textId="77777777" w:rsidTr="00362960">
        <w:tc>
          <w:tcPr>
            <w:tcW w:w="1510" w:type="dxa"/>
          </w:tcPr>
          <w:p w14:paraId="671782B6"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Ян, 2021</w:t>
            </w:r>
          </w:p>
        </w:tc>
        <w:tc>
          <w:tcPr>
            <w:tcW w:w="1510" w:type="dxa"/>
          </w:tcPr>
          <w:p w14:paraId="0BFE6C51" w14:textId="77777777" w:rsidR="00F25212" w:rsidRPr="00F25212" w:rsidRDefault="00F25212" w:rsidP="00362960">
            <w:pPr>
              <w:jc w:val="center"/>
              <w:rPr>
                <w:rFonts w:ascii="Times New Roman" w:hAnsi="Times New Roman" w:cs="Times New Roman"/>
                <w:sz w:val="20"/>
                <w:szCs w:val="20"/>
              </w:rPr>
            </w:pPr>
            <w:proofErr w:type="spellStart"/>
            <w:r w:rsidRPr="00F25212">
              <w:rPr>
                <w:rFonts w:ascii="Times New Roman" w:hAnsi="Times New Roman" w:cs="Times New Roman"/>
                <w:sz w:val="20"/>
                <w:szCs w:val="20"/>
              </w:rPr>
              <w:t>Фев</w:t>
            </w:r>
            <w:proofErr w:type="spellEnd"/>
            <w:r w:rsidRPr="00F25212">
              <w:rPr>
                <w:rFonts w:ascii="Times New Roman" w:hAnsi="Times New Roman" w:cs="Times New Roman"/>
                <w:sz w:val="20"/>
                <w:szCs w:val="20"/>
              </w:rPr>
              <w:t>, 2021</w:t>
            </w:r>
          </w:p>
        </w:tc>
        <w:tc>
          <w:tcPr>
            <w:tcW w:w="1510" w:type="dxa"/>
          </w:tcPr>
          <w:p w14:paraId="3A8E1DFE"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Март, 2021</w:t>
            </w:r>
          </w:p>
        </w:tc>
        <w:tc>
          <w:tcPr>
            <w:tcW w:w="1510" w:type="dxa"/>
          </w:tcPr>
          <w:p w14:paraId="79216672"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Април, 2021</w:t>
            </w:r>
          </w:p>
        </w:tc>
        <w:tc>
          <w:tcPr>
            <w:tcW w:w="1511" w:type="dxa"/>
          </w:tcPr>
          <w:p w14:paraId="11642711"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Май, 2021</w:t>
            </w:r>
          </w:p>
        </w:tc>
        <w:tc>
          <w:tcPr>
            <w:tcW w:w="1511" w:type="dxa"/>
          </w:tcPr>
          <w:p w14:paraId="4A3B7032"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Юни,2021</w:t>
            </w:r>
          </w:p>
        </w:tc>
      </w:tr>
      <w:tr w:rsidR="00F25212" w:rsidRPr="00F25212" w14:paraId="174F2C7E" w14:textId="77777777" w:rsidTr="00362960">
        <w:tc>
          <w:tcPr>
            <w:tcW w:w="1510" w:type="dxa"/>
          </w:tcPr>
          <w:p w14:paraId="322C30E8"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260 400</w:t>
            </w:r>
          </w:p>
        </w:tc>
        <w:tc>
          <w:tcPr>
            <w:tcW w:w="1510" w:type="dxa"/>
          </w:tcPr>
          <w:p w14:paraId="645CF7DD"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235 200</w:t>
            </w:r>
          </w:p>
        </w:tc>
        <w:tc>
          <w:tcPr>
            <w:tcW w:w="1510" w:type="dxa"/>
          </w:tcPr>
          <w:p w14:paraId="5D9DD358"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200 610</w:t>
            </w:r>
          </w:p>
        </w:tc>
        <w:tc>
          <w:tcPr>
            <w:tcW w:w="1510" w:type="dxa"/>
          </w:tcPr>
          <w:p w14:paraId="0AC1ACB1"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144 000</w:t>
            </w:r>
          </w:p>
        </w:tc>
        <w:tc>
          <w:tcPr>
            <w:tcW w:w="1511" w:type="dxa"/>
          </w:tcPr>
          <w:p w14:paraId="430AADFC"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163 680</w:t>
            </w:r>
          </w:p>
        </w:tc>
        <w:tc>
          <w:tcPr>
            <w:tcW w:w="1511" w:type="dxa"/>
          </w:tcPr>
          <w:p w14:paraId="0BC1726B" w14:textId="77777777" w:rsidR="00F25212" w:rsidRPr="00F25212" w:rsidRDefault="00F25212" w:rsidP="00362960">
            <w:pPr>
              <w:jc w:val="center"/>
              <w:rPr>
                <w:rFonts w:ascii="Times New Roman" w:hAnsi="Times New Roman" w:cs="Times New Roman"/>
                <w:sz w:val="20"/>
                <w:szCs w:val="20"/>
              </w:rPr>
            </w:pPr>
            <w:r w:rsidRPr="00F25212">
              <w:rPr>
                <w:rFonts w:ascii="Times New Roman" w:hAnsi="Times New Roman" w:cs="Times New Roman"/>
                <w:sz w:val="20"/>
                <w:szCs w:val="20"/>
              </w:rPr>
              <w:t>160 560</w:t>
            </w:r>
          </w:p>
        </w:tc>
      </w:tr>
    </w:tbl>
    <w:p w14:paraId="536AAB66" w14:textId="77777777" w:rsidR="00F25212" w:rsidRPr="00F25212" w:rsidRDefault="00F25212" w:rsidP="00F25212">
      <w:pPr>
        <w:jc w:val="both"/>
        <w:rPr>
          <w:rFonts w:ascii="Times New Roman" w:hAnsi="Times New Roman" w:cs="Times New Roman"/>
          <w:sz w:val="24"/>
          <w:szCs w:val="24"/>
        </w:rPr>
      </w:pPr>
    </w:p>
    <w:p w14:paraId="3E3E48CA" w14:textId="2E9C6186" w:rsid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 xml:space="preserve">Наложените допълнителни задължения към обществото на „ТЕЦ Марица изток 2“ЕАД за текущия регулаторен период са свързани с осигуряването на 296,8 </w:t>
      </w:r>
      <w:proofErr w:type="spellStart"/>
      <w:r w:rsidRPr="00F25212">
        <w:rPr>
          <w:rFonts w:ascii="Times New Roman" w:hAnsi="Times New Roman" w:cs="Times New Roman"/>
          <w:sz w:val="24"/>
          <w:szCs w:val="24"/>
        </w:rPr>
        <w:t>МВт</w:t>
      </w:r>
      <w:proofErr w:type="spellEnd"/>
      <w:r w:rsidRPr="00F25212">
        <w:rPr>
          <w:rFonts w:ascii="Times New Roman" w:hAnsi="Times New Roman" w:cs="Times New Roman"/>
          <w:sz w:val="24"/>
          <w:szCs w:val="24"/>
        </w:rPr>
        <w:t xml:space="preserve"> </w:t>
      </w:r>
      <w:proofErr w:type="spellStart"/>
      <w:r w:rsidRPr="00F25212">
        <w:rPr>
          <w:rFonts w:ascii="Times New Roman" w:hAnsi="Times New Roman" w:cs="Times New Roman"/>
          <w:sz w:val="24"/>
          <w:szCs w:val="24"/>
        </w:rPr>
        <w:t>разполагаемост</w:t>
      </w:r>
      <w:proofErr w:type="spellEnd"/>
      <w:r w:rsidRPr="00F25212">
        <w:rPr>
          <w:rFonts w:ascii="Times New Roman" w:hAnsi="Times New Roman" w:cs="Times New Roman"/>
          <w:sz w:val="24"/>
          <w:szCs w:val="24"/>
        </w:rPr>
        <w:t xml:space="preserve"> или общо 2 600 000 </w:t>
      </w:r>
      <w:proofErr w:type="spellStart"/>
      <w:r w:rsidRPr="00F25212">
        <w:rPr>
          <w:rFonts w:ascii="Times New Roman" w:hAnsi="Times New Roman" w:cs="Times New Roman"/>
          <w:sz w:val="24"/>
          <w:szCs w:val="24"/>
        </w:rPr>
        <w:t>МВтч</w:t>
      </w:r>
      <w:proofErr w:type="spellEnd"/>
      <w:r w:rsidRPr="00F25212">
        <w:rPr>
          <w:rFonts w:ascii="Times New Roman" w:hAnsi="Times New Roman" w:cs="Times New Roman"/>
          <w:sz w:val="24"/>
          <w:szCs w:val="24"/>
        </w:rPr>
        <w:t xml:space="preserve">. В случаите, когато едно дружество е задължено да предоставя услуги, свързани с наложени задължения към обществото ЗЕ предвижда, то да бъде компенсирано за всички направени допълнителни разходи, свързани с тези услуги. </w:t>
      </w:r>
    </w:p>
    <w:p w14:paraId="767B33F6" w14:textId="6856E2E1" w:rsidR="00F25212" w:rsidRDefault="00362960" w:rsidP="001365A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За</w:t>
      </w:r>
      <w:r w:rsidR="00F25212" w:rsidRPr="00F25212">
        <w:rPr>
          <w:rFonts w:ascii="Times New Roman" w:hAnsi="Times New Roman" w:cs="Times New Roman"/>
          <w:sz w:val="24"/>
          <w:szCs w:val="24"/>
        </w:rPr>
        <w:t xml:space="preserve"> текущия регулаторен период</w:t>
      </w:r>
      <w:r w:rsidR="00A44CBA">
        <w:rPr>
          <w:rFonts w:ascii="Times New Roman" w:hAnsi="Times New Roman" w:cs="Times New Roman"/>
          <w:sz w:val="24"/>
          <w:szCs w:val="24"/>
        </w:rPr>
        <w:t xml:space="preserve"> </w:t>
      </w:r>
      <w:r w:rsidR="00A44CBA">
        <w:rPr>
          <w:rFonts w:ascii="Times New Roman" w:hAnsi="Times New Roman" w:cs="Times New Roman"/>
          <w:sz w:val="24"/>
          <w:szCs w:val="24"/>
          <w:lang w:val="en-GB"/>
        </w:rPr>
        <w:t>(</w:t>
      </w:r>
      <w:r w:rsidR="00A44CBA">
        <w:rPr>
          <w:rFonts w:ascii="Times New Roman" w:hAnsi="Times New Roman" w:cs="Times New Roman"/>
          <w:sz w:val="24"/>
          <w:szCs w:val="24"/>
        </w:rPr>
        <w:t>от 01.07.2020 г. до 30.06.2021 г.</w:t>
      </w:r>
      <w:r w:rsidR="00A44CBA">
        <w:rPr>
          <w:rFonts w:ascii="Times New Roman" w:hAnsi="Times New Roman" w:cs="Times New Roman"/>
          <w:sz w:val="24"/>
          <w:szCs w:val="24"/>
          <w:lang w:val="en-GB"/>
        </w:rPr>
        <w:t>)</w:t>
      </w:r>
      <w:r w:rsidR="00F25212" w:rsidRPr="00F25212">
        <w:rPr>
          <w:rFonts w:ascii="Times New Roman" w:hAnsi="Times New Roman" w:cs="Times New Roman"/>
          <w:sz w:val="24"/>
          <w:szCs w:val="24"/>
        </w:rPr>
        <w:t xml:space="preserve">, „ТЕЦ </w:t>
      </w:r>
      <w:r>
        <w:rPr>
          <w:rFonts w:ascii="Times New Roman" w:hAnsi="Times New Roman" w:cs="Times New Roman"/>
          <w:sz w:val="24"/>
          <w:szCs w:val="24"/>
        </w:rPr>
        <w:t>Марица изток 2“ ЕАД представи</w:t>
      </w:r>
      <w:r w:rsidR="00F25212" w:rsidRPr="00F25212">
        <w:rPr>
          <w:rFonts w:ascii="Times New Roman" w:hAnsi="Times New Roman" w:cs="Times New Roman"/>
          <w:sz w:val="24"/>
          <w:szCs w:val="24"/>
        </w:rPr>
        <w:t xml:space="preserve"> и искане на основание чл. 35 от ЗЕ за признаване и компенсиране на разходи за количествата електрическа енергия, предоставени на обществения доставчик за нуждите на регулирания пазар</w:t>
      </w:r>
      <w:r>
        <w:rPr>
          <w:rFonts w:ascii="Times New Roman" w:hAnsi="Times New Roman" w:cs="Times New Roman"/>
          <w:sz w:val="24"/>
          <w:szCs w:val="24"/>
        </w:rPr>
        <w:t xml:space="preserve"> на обща стойност 238 507 хил. лв., които</w:t>
      </w:r>
      <w:r w:rsidR="00F25212" w:rsidRPr="00F25212">
        <w:rPr>
          <w:rFonts w:ascii="Times New Roman" w:hAnsi="Times New Roman" w:cs="Times New Roman"/>
          <w:sz w:val="24"/>
          <w:szCs w:val="24"/>
        </w:rPr>
        <w:t xml:space="preserve">, </w:t>
      </w:r>
      <w:r>
        <w:rPr>
          <w:rFonts w:ascii="Times New Roman" w:hAnsi="Times New Roman" w:cs="Times New Roman"/>
          <w:sz w:val="24"/>
          <w:szCs w:val="24"/>
        </w:rPr>
        <w:t>КЕВР отказа да признае и респективно да компенсира през текущия регулаторен период. Тези разходи водят до натрупване на финансови загуби, които не могат да бъдат възстановени на па</w:t>
      </w:r>
      <w:r w:rsidR="008F2E7C">
        <w:rPr>
          <w:rFonts w:ascii="Times New Roman" w:hAnsi="Times New Roman" w:cs="Times New Roman"/>
          <w:sz w:val="24"/>
          <w:szCs w:val="24"/>
        </w:rPr>
        <w:t>зарен принцип.</w:t>
      </w:r>
    </w:p>
    <w:p w14:paraId="6F85689D" w14:textId="69B1EFA8" w:rsid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lastRenderedPageBreak/>
        <w:t>По финансов о</w:t>
      </w:r>
      <w:r w:rsidR="008F2E7C">
        <w:rPr>
          <w:rFonts w:ascii="Times New Roman" w:hAnsi="Times New Roman" w:cs="Times New Roman"/>
          <w:sz w:val="24"/>
          <w:szCs w:val="24"/>
        </w:rPr>
        <w:t xml:space="preserve">тчет за 2020 г. </w:t>
      </w:r>
      <w:r w:rsidR="000D1685">
        <w:rPr>
          <w:rFonts w:ascii="Times New Roman" w:hAnsi="Times New Roman" w:cs="Times New Roman"/>
          <w:sz w:val="24"/>
          <w:szCs w:val="24"/>
        </w:rPr>
        <w:t xml:space="preserve"> </w:t>
      </w:r>
      <w:r w:rsidR="000D1685">
        <w:rPr>
          <w:rFonts w:ascii="Times New Roman" w:hAnsi="Times New Roman" w:cs="Times New Roman"/>
          <w:sz w:val="24"/>
          <w:szCs w:val="24"/>
          <w:lang w:val="en-GB"/>
        </w:rPr>
        <w:t>(</w:t>
      </w:r>
      <w:proofErr w:type="spellStart"/>
      <w:proofErr w:type="gramStart"/>
      <w:r w:rsidR="000D1685">
        <w:rPr>
          <w:rFonts w:ascii="Times New Roman" w:hAnsi="Times New Roman" w:cs="Times New Roman"/>
          <w:sz w:val="24"/>
          <w:szCs w:val="24"/>
        </w:rPr>
        <w:t>неодитиран</w:t>
      </w:r>
      <w:proofErr w:type="spellEnd"/>
      <w:proofErr w:type="gramEnd"/>
      <w:r w:rsidR="000D1685">
        <w:rPr>
          <w:rFonts w:ascii="Times New Roman" w:hAnsi="Times New Roman" w:cs="Times New Roman"/>
          <w:sz w:val="24"/>
          <w:szCs w:val="24"/>
          <w:lang w:val="en-GB"/>
        </w:rPr>
        <w:t>)</w:t>
      </w:r>
      <w:r w:rsidR="000D1685">
        <w:rPr>
          <w:rFonts w:ascii="Times New Roman" w:hAnsi="Times New Roman" w:cs="Times New Roman"/>
          <w:sz w:val="24"/>
          <w:szCs w:val="24"/>
        </w:rPr>
        <w:t xml:space="preserve"> </w:t>
      </w:r>
      <w:r w:rsidRPr="00F25212">
        <w:rPr>
          <w:rFonts w:ascii="Times New Roman" w:hAnsi="Times New Roman" w:cs="Times New Roman"/>
          <w:sz w:val="24"/>
          <w:szCs w:val="24"/>
        </w:rPr>
        <w:t>резултат</w:t>
      </w:r>
      <w:r w:rsidR="008F2E7C">
        <w:rPr>
          <w:rFonts w:ascii="Times New Roman" w:hAnsi="Times New Roman" w:cs="Times New Roman"/>
          <w:sz w:val="24"/>
          <w:szCs w:val="24"/>
        </w:rPr>
        <w:t>ът</w:t>
      </w:r>
      <w:r w:rsidRPr="00F25212">
        <w:rPr>
          <w:rFonts w:ascii="Times New Roman" w:hAnsi="Times New Roman" w:cs="Times New Roman"/>
          <w:sz w:val="24"/>
          <w:szCs w:val="24"/>
        </w:rPr>
        <w:t xml:space="preserve"> преди данъци </w:t>
      </w:r>
      <w:r w:rsidR="008C4E67">
        <w:rPr>
          <w:rFonts w:ascii="Times New Roman" w:hAnsi="Times New Roman" w:cs="Times New Roman"/>
          <w:sz w:val="24"/>
          <w:szCs w:val="24"/>
        </w:rPr>
        <w:t>е</w:t>
      </w:r>
      <w:r w:rsidRPr="00F25212">
        <w:rPr>
          <w:rFonts w:ascii="Times New Roman" w:hAnsi="Times New Roman" w:cs="Times New Roman"/>
          <w:sz w:val="24"/>
          <w:szCs w:val="24"/>
        </w:rPr>
        <w:t xml:space="preserve"> </w:t>
      </w:r>
      <w:r w:rsidR="001C046C">
        <w:rPr>
          <w:rFonts w:ascii="Times New Roman" w:hAnsi="Times New Roman" w:cs="Times New Roman"/>
          <w:sz w:val="24"/>
          <w:szCs w:val="24"/>
        </w:rPr>
        <w:t>……………..</w:t>
      </w:r>
      <w:r w:rsidRPr="00F25212">
        <w:rPr>
          <w:rFonts w:ascii="Times New Roman" w:hAnsi="Times New Roman" w:cs="Times New Roman"/>
          <w:sz w:val="24"/>
          <w:szCs w:val="24"/>
        </w:rPr>
        <w:t xml:space="preserve">., като тенденцията е за </w:t>
      </w:r>
      <w:r w:rsidR="001C046C">
        <w:rPr>
          <w:rFonts w:ascii="Times New Roman" w:hAnsi="Times New Roman" w:cs="Times New Roman"/>
          <w:sz w:val="24"/>
          <w:szCs w:val="24"/>
        </w:rPr>
        <w:t>………………..</w:t>
      </w:r>
      <w:r w:rsidR="001C046C" w:rsidRPr="00F25212">
        <w:rPr>
          <w:rFonts w:ascii="Times New Roman" w:hAnsi="Times New Roman" w:cs="Times New Roman"/>
          <w:sz w:val="24"/>
          <w:szCs w:val="24"/>
        </w:rPr>
        <w:t xml:space="preserve"> </w:t>
      </w:r>
      <w:r w:rsidRPr="00F25212">
        <w:rPr>
          <w:rFonts w:ascii="Times New Roman" w:hAnsi="Times New Roman" w:cs="Times New Roman"/>
          <w:sz w:val="24"/>
          <w:szCs w:val="24"/>
        </w:rPr>
        <w:t xml:space="preserve">спрямо 2019 г. с  </w:t>
      </w:r>
      <w:r w:rsidR="001C046C">
        <w:rPr>
          <w:rFonts w:ascii="Times New Roman" w:hAnsi="Times New Roman" w:cs="Times New Roman"/>
          <w:sz w:val="24"/>
          <w:szCs w:val="24"/>
        </w:rPr>
        <w:t>................</w:t>
      </w:r>
      <w:r w:rsidRPr="00F25212">
        <w:rPr>
          <w:rFonts w:ascii="Times New Roman" w:hAnsi="Times New Roman" w:cs="Times New Roman"/>
          <w:sz w:val="24"/>
          <w:szCs w:val="24"/>
        </w:rPr>
        <w:t xml:space="preserve">, когато отчетената загуба преди данъци е била в размер на </w:t>
      </w:r>
      <w:r w:rsidR="001C046C">
        <w:rPr>
          <w:rFonts w:ascii="Times New Roman" w:hAnsi="Times New Roman" w:cs="Times New Roman"/>
          <w:sz w:val="24"/>
          <w:szCs w:val="24"/>
        </w:rPr>
        <w:t>………………</w:t>
      </w:r>
      <w:r w:rsidRPr="00F25212">
        <w:rPr>
          <w:rFonts w:ascii="Times New Roman" w:hAnsi="Times New Roman" w:cs="Times New Roman"/>
          <w:sz w:val="24"/>
          <w:szCs w:val="24"/>
        </w:rPr>
        <w:t xml:space="preserve">. Налице е </w:t>
      </w:r>
      <w:r w:rsidR="001C046C">
        <w:rPr>
          <w:rFonts w:ascii="Times New Roman" w:hAnsi="Times New Roman" w:cs="Times New Roman"/>
          <w:sz w:val="24"/>
          <w:szCs w:val="24"/>
        </w:rPr>
        <w:t>…………………….</w:t>
      </w:r>
      <w:r w:rsidRPr="00F25212">
        <w:rPr>
          <w:rFonts w:ascii="Times New Roman" w:hAnsi="Times New Roman" w:cs="Times New Roman"/>
          <w:sz w:val="24"/>
          <w:szCs w:val="24"/>
        </w:rPr>
        <w:t>., която се дължи на промените в пазарната среда през 2020 г., в резултат на развилата се здравна криза с COVI</w:t>
      </w:r>
      <w:r w:rsidR="006A4931">
        <w:rPr>
          <w:rFonts w:ascii="Times New Roman" w:hAnsi="Times New Roman" w:cs="Times New Roman"/>
          <w:sz w:val="24"/>
          <w:szCs w:val="24"/>
          <w:lang w:val="en-US"/>
        </w:rPr>
        <w:t>D</w:t>
      </w:r>
      <w:r w:rsidRPr="00F25212">
        <w:rPr>
          <w:rFonts w:ascii="Times New Roman" w:hAnsi="Times New Roman" w:cs="Times New Roman"/>
          <w:sz w:val="24"/>
          <w:szCs w:val="24"/>
        </w:rPr>
        <w:t>-19 в световен мащаб</w:t>
      </w:r>
      <w:r w:rsidR="000D1685">
        <w:rPr>
          <w:rFonts w:ascii="Times New Roman" w:hAnsi="Times New Roman" w:cs="Times New Roman"/>
          <w:sz w:val="24"/>
          <w:szCs w:val="24"/>
        </w:rPr>
        <w:t>, както и на съществения ръст на цените на квотите за парникови газове</w:t>
      </w:r>
      <w:r w:rsidRPr="00F25212">
        <w:rPr>
          <w:rFonts w:ascii="Times New Roman" w:hAnsi="Times New Roman" w:cs="Times New Roman"/>
          <w:sz w:val="24"/>
          <w:szCs w:val="24"/>
        </w:rPr>
        <w:t xml:space="preserve">. </w:t>
      </w:r>
      <w:r w:rsidR="00547420">
        <w:rPr>
          <w:rFonts w:ascii="Times New Roman" w:hAnsi="Times New Roman" w:cs="Times New Roman"/>
          <w:sz w:val="24"/>
          <w:szCs w:val="24"/>
        </w:rPr>
        <w:t>К</w:t>
      </w:r>
      <w:r w:rsidR="006A4931">
        <w:rPr>
          <w:rFonts w:ascii="Times New Roman" w:hAnsi="Times New Roman" w:cs="Times New Roman"/>
          <w:sz w:val="24"/>
          <w:szCs w:val="24"/>
        </w:rPr>
        <w:t xml:space="preserve">ъм 31.12.2019 г. </w:t>
      </w:r>
      <w:r w:rsidR="00B573EC">
        <w:rPr>
          <w:rFonts w:ascii="Times New Roman" w:hAnsi="Times New Roman" w:cs="Times New Roman"/>
          <w:sz w:val="24"/>
          <w:szCs w:val="24"/>
        </w:rPr>
        <w:t>цената на квотите</w:t>
      </w:r>
      <w:r w:rsidR="006A4931">
        <w:rPr>
          <w:rFonts w:ascii="Times New Roman" w:hAnsi="Times New Roman" w:cs="Times New Roman"/>
          <w:sz w:val="24"/>
          <w:szCs w:val="24"/>
        </w:rPr>
        <w:t xml:space="preserve"> </w:t>
      </w:r>
      <w:r w:rsidR="00B573EC">
        <w:rPr>
          <w:rFonts w:ascii="Times New Roman" w:hAnsi="Times New Roman" w:cs="Times New Roman"/>
          <w:sz w:val="24"/>
          <w:szCs w:val="24"/>
        </w:rPr>
        <w:t>имаше пазарна стойност в разм</w:t>
      </w:r>
      <w:r w:rsidR="006A4931">
        <w:rPr>
          <w:rFonts w:ascii="Times New Roman" w:hAnsi="Times New Roman" w:cs="Times New Roman"/>
          <w:sz w:val="24"/>
          <w:szCs w:val="24"/>
        </w:rPr>
        <w:t>ер на 24,86 евро/тон</w:t>
      </w:r>
      <w:r w:rsidR="00547420">
        <w:rPr>
          <w:rFonts w:ascii="Times New Roman" w:hAnsi="Times New Roman" w:cs="Times New Roman"/>
          <w:sz w:val="24"/>
          <w:szCs w:val="24"/>
        </w:rPr>
        <w:t>. К</w:t>
      </w:r>
      <w:r w:rsidR="006A4931">
        <w:rPr>
          <w:rFonts w:ascii="Times New Roman" w:hAnsi="Times New Roman" w:cs="Times New Roman"/>
          <w:sz w:val="24"/>
          <w:szCs w:val="24"/>
        </w:rPr>
        <w:t xml:space="preserve">ъм края на месец март 2020 г. претърпя значителен спад и регистрира </w:t>
      </w:r>
      <w:r w:rsidR="00822A5F">
        <w:rPr>
          <w:rFonts w:ascii="Times New Roman" w:hAnsi="Times New Roman" w:cs="Times New Roman"/>
          <w:sz w:val="24"/>
          <w:szCs w:val="24"/>
        </w:rPr>
        <w:t>най-ниска стойност 15,71 евро/тон на 18.03.2020 г.</w:t>
      </w:r>
      <w:r w:rsidR="00547420">
        <w:rPr>
          <w:rFonts w:ascii="Times New Roman" w:hAnsi="Times New Roman" w:cs="Times New Roman"/>
          <w:sz w:val="24"/>
          <w:szCs w:val="24"/>
        </w:rPr>
        <w:t>, което най-вероятно послужи като база за определяне от КЕВР на прогнозна пазарна цена на квотите</w:t>
      </w:r>
      <w:r w:rsidR="00B573EC">
        <w:rPr>
          <w:rFonts w:ascii="Times New Roman" w:hAnsi="Times New Roman" w:cs="Times New Roman"/>
          <w:sz w:val="24"/>
          <w:szCs w:val="24"/>
        </w:rPr>
        <w:t xml:space="preserve"> </w:t>
      </w:r>
      <w:r w:rsidR="00547420">
        <w:rPr>
          <w:rFonts w:ascii="Times New Roman" w:hAnsi="Times New Roman" w:cs="Times New Roman"/>
          <w:sz w:val="24"/>
          <w:szCs w:val="24"/>
        </w:rPr>
        <w:t xml:space="preserve">за парникови газове от 22 евро/тон за регулаторния период от 01.07.2020 г. до 30.06.2021 г. Цени в рамките на 22 евро/тон бяха отчитани само до мес. Юни 2020 г., </w:t>
      </w:r>
      <w:r w:rsidR="00B573EC">
        <w:rPr>
          <w:rFonts w:ascii="Times New Roman" w:hAnsi="Times New Roman" w:cs="Times New Roman"/>
          <w:sz w:val="24"/>
          <w:szCs w:val="24"/>
        </w:rPr>
        <w:t xml:space="preserve">като след това </w:t>
      </w:r>
      <w:proofErr w:type="spellStart"/>
      <w:r w:rsidR="00547420">
        <w:rPr>
          <w:rFonts w:ascii="Times New Roman" w:hAnsi="Times New Roman" w:cs="Times New Roman"/>
          <w:sz w:val="24"/>
          <w:szCs w:val="24"/>
        </w:rPr>
        <w:t>отбелязха</w:t>
      </w:r>
      <w:proofErr w:type="spellEnd"/>
      <w:r w:rsidR="00547420">
        <w:rPr>
          <w:rFonts w:ascii="Times New Roman" w:hAnsi="Times New Roman" w:cs="Times New Roman"/>
          <w:sz w:val="24"/>
          <w:szCs w:val="24"/>
        </w:rPr>
        <w:t xml:space="preserve">  </w:t>
      </w:r>
      <w:r w:rsidR="00822A5F">
        <w:rPr>
          <w:rFonts w:ascii="Times New Roman" w:hAnsi="Times New Roman" w:cs="Times New Roman"/>
          <w:sz w:val="24"/>
          <w:szCs w:val="24"/>
        </w:rPr>
        <w:t xml:space="preserve">последващо нарастване на цената през годината, </w:t>
      </w:r>
      <w:r w:rsidR="0021492E">
        <w:rPr>
          <w:rFonts w:ascii="Times New Roman" w:hAnsi="Times New Roman" w:cs="Times New Roman"/>
          <w:sz w:val="24"/>
          <w:szCs w:val="24"/>
        </w:rPr>
        <w:t xml:space="preserve">достигнало 32,72 евро/тон към 31.12.2020 г. Възходящата тенденция се </w:t>
      </w:r>
      <w:r w:rsidR="00547420">
        <w:rPr>
          <w:rFonts w:ascii="Times New Roman" w:hAnsi="Times New Roman" w:cs="Times New Roman"/>
          <w:sz w:val="24"/>
          <w:szCs w:val="24"/>
        </w:rPr>
        <w:t xml:space="preserve">запази и през 2021 г. </w:t>
      </w:r>
      <w:r w:rsidR="0021492E">
        <w:rPr>
          <w:rFonts w:ascii="Times New Roman" w:hAnsi="Times New Roman" w:cs="Times New Roman"/>
          <w:sz w:val="24"/>
          <w:szCs w:val="24"/>
        </w:rPr>
        <w:t>и към настоящия момент цената е над 42 евро/тон.</w:t>
      </w:r>
      <w:r w:rsidR="00547420">
        <w:rPr>
          <w:rFonts w:ascii="Times New Roman" w:hAnsi="Times New Roman" w:cs="Times New Roman"/>
          <w:sz w:val="24"/>
          <w:szCs w:val="24"/>
        </w:rPr>
        <w:t xml:space="preserve"> </w:t>
      </w:r>
    </w:p>
    <w:p w14:paraId="6C0B3FCD" w14:textId="09B922CE" w:rsidR="00F25212" w:rsidRPr="00F25212" w:rsidRDefault="00613D5D" w:rsidP="001365A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w:t>
      </w:r>
    </w:p>
    <w:p w14:paraId="069B838D" w14:textId="77777777" w:rsidR="00F25212" w:rsidRP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Отражението на здравната криза с COVID-19 доведе до елиминиране на положителния финансово-икономически ефект и стабилизирането на цените на свободния пазар, в резултат на силно ограниченото търсене на енергия, поради спиране на производствения процес на ключови индустриални консуматори. Въпреки това, чрез участието на „ТЕЦ Марица изток 2“ЕАД на регулиран пазар, енергийната сигурност на страната е гарантирана, както за клиентите на регулиран, така и за клиентите на свободния пазар.</w:t>
      </w:r>
    </w:p>
    <w:p w14:paraId="1712773D" w14:textId="77777777" w:rsidR="00F25212" w:rsidRP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Анализът на приходите и разходите на „ТЕЦ Марица изток 2“ЕАД  за 2020 г. спрямо предходния отчетен период ясно определя промяна в структурата и обема на приходите от продажби. Резултат от тази промяна е минимализиране на загубите от продажба на електрическа енергия, каквато е и препоръката на КЕВР за предприемане на действия от страна на дружеството за постигане на по-добри финансови резултати, посредством прилагане на оптимизирана стратегия за участие на дружеството на свободния пазар.</w:t>
      </w:r>
    </w:p>
    <w:p w14:paraId="3A752FC9" w14:textId="1E78FEBF" w:rsidR="00F25212" w:rsidRDefault="00F25212" w:rsidP="001365A2">
      <w:pPr>
        <w:spacing w:after="120" w:line="240" w:lineRule="auto"/>
        <w:jc w:val="both"/>
        <w:rPr>
          <w:rFonts w:ascii="Times New Roman" w:hAnsi="Times New Roman" w:cs="Times New Roman"/>
          <w:sz w:val="24"/>
          <w:szCs w:val="24"/>
        </w:rPr>
      </w:pPr>
      <w:r w:rsidRPr="00F25212">
        <w:rPr>
          <w:rFonts w:ascii="Times New Roman" w:hAnsi="Times New Roman" w:cs="Times New Roman"/>
          <w:sz w:val="24"/>
          <w:szCs w:val="24"/>
        </w:rPr>
        <w:t xml:space="preserve">Приходите от продажба на електрическа </w:t>
      </w:r>
      <w:r w:rsidRPr="00613D5D">
        <w:rPr>
          <w:rFonts w:ascii="Times New Roman" w:hAnsi="Times New Roman" w:cs="Times New Roman"/>
          <w:sz w:val="24"/>
          <w:szCs w:val="24"/>
        </w:rPr>
        <w:t xml:space="preserve">енергия намаляват с </w:t>
      </w:r>
      <w:r w:rsidR="00613D5D" w:rsidRPr="00610788">
        <w:rPr>
          <w:rFonts w:ascii="Times New Roman" w:hAnsi="Times New Roman" w:cs="Times New Roman"/>
          <w:sz w:val="24"/>
          <w:szCs w:val="24"/>
        </w:rPr>
        <w:t>.............</w:t>
      </w:r>
      <w:r w:rsidRPr="00613D5D">
        <w:rPr>
          <w:rFonts w:ascii="Times New Roman" w:hAnsi="Times New Roman" w:cs="Times New Roman"/>
          <w:sz w:val="24"/>
          <w:szCs w:val="24"/>
        </w:rPr>
        <w:t xml:space="preserve"> през 2020 г.  спрямо предходната година, като основен фактор</w:t>
      </w:r>
      <w:r w:rsidRPr="00F25212">
        <w:rPr>
          <w:rFonts w:ascii="Times New Roman" w:hAnsi="Times New Roman" w:cs="Times New Roman"/>
          <w:sz w:val="24"/>
          <w:szCs w:val="24"/>
        </w:rPr>
        <w:t xml:space="preserve"> за тези резултати е влиянието на световната здравна криза с COVID-19, която през първото полугодие на практика блокира производството на електроенергия за индустриалните консуматори, които са основна част от потреблението на свободния пазар. Аналогична е ситуацията както на регионалните, така и на европейските енергийни борси. От друга страна цените на въглеродните емисии следват отново възходяща тенденция, което заедно с намаленото производство води до увеличаване на себестойността на произвежданата електрическа енергия. По отчетни данни,</w:t>
      </w:r>
      <w:r w:rsidR="003A6E54">
        <w:rPr>
          <w:rFonts w:ascii="Times New Roman" w:hAnsi="Times New Roman" w:cs="Times New Roman"/>
          <w:sz w:val="24"/>
          <w:szCs w:val="24"/>
        </w:rPr>
        <w:t xml:space="preserve"> изчислени но методиката в НРЦЕЕ пълните разходи </w:t>
      </w:r>
      <w:r w:rsidR="00547420">
        <w:rPr>
          <w:rFonts w:ascii="Times New Roman" w:hAnsi="Times New Roman" w:cs="Times New Roman"/>
          <w:sz w:val="24"/>
          <w:szCs w:val="24"/>
        </w:rPr>
        <w:t xml:space="preserve">за производство на ел. енергия за 2020 г. значително превишават </w:t>
      </w:r>
      <w:r w:rsidR="00323764" w:rsidRPr="00F25212">
        <w:rPr>
          <w:rFonts w:ascii="Times New Roman" w:hAnsi="Times New Roman" w:cs="Times New Roman"/>
          <w:sz w:val="24"/>
          <w:szCs w:val="24"/>
        </w:rPr>
        <w:t>изчислен</w:t>
      </w:r>
      <w:r w:rsidR="00323764">
        <w:rPr>
          <w:rFonts w:ascii="Times New Roman" w:hAnsi="Times New Roman" w:cs="Times New Roman"/>
          <w:sz w:val="24"/>
          <w:szCs w:val="24"/>
        </w:rPr>
        <w:t xml:space="preserve">ите </w:t>
      </w:r>
      <w:r w:rsidRPr="00F25212">
        <w:rPr>
          <w:rFonts w:ascii="Times New Roman" w:hAnsi="Times New Roman" w:cs="Times New Roman"/>
          <w:sz w:val="24"/>
          <w:szCs w:val="24"/>
        </w:rPr>
        <w:t xml:space="preserve">от КЕВР </w:t>
      </w:r>
      <w:r w:rsidR="00323764">
        <w:rPr>
          <w:rFonts w:ascii="Times New Roman" w:hAnsi="Times New Roman" w:cs="Times New Roman"/>
          <w:sz w:val="24"/>
          <w:szCs w:val="24"/>
        </w:rPr>
        <w:t xml:space="preserve">цени както </w:t>
      </w:r>
      <w:r w:rsidRPr="00F25212">
        <w:rPr>
          <w:rFonts w:ascii="Times New Roman" w:hAnsi="Times New Roman" w:cs="Times New Roman"/>
          <w:sz w:val="24"/>
          <w:szCs w:val="24"/>
        </w:rPr>
        <w:t xml:space="preserve">за </w:t>
      </w:r>
      <w:r w:rsidR="00323764">
        <w:rPr>
          <w:rFonts w:ascii="Times New Roman" w:hAnsi="Times New Roman" w:cs="Times New Roman"/>
          <w:sz w:val="24"/>
          <w:szCs w:val="24"/>
        </w:rPr>
        <w:t xml:space="preserve">предходния, така и за </w:t>
      </w:r>
      <w:r w:rsidRPr="00F25212">
        <w:rPr>
          <w:rFonts w:ascii="Times New Roman" w:hAnsi="Times New Roman" w:cs="Times New Roman"/>
          <w:sz w:val="24"/>
          <w:szCs w:val="24"/>
        </w:rPr>
        <w:t>текущия регулаторен период</w:t>
      </w:r>
      <w:r w:rsidR="00323764">
        <w:rPr>
          <w:rFonts w:ascii="Times New Roman" w:hAnsi="Times New Roman" w:cs="Times New Roman"/>
          <w:sz w:val="24"/>
          <w:szCs w:val="24"/>
        </w:rPr>
        <w:t>.</w:t>
      </w:r>
    </w:p>
    <w:p w14:paraId="3CB6F694" w14:textId="12907788" w:rsidR="00F25212" w:rsidRPr="008F2E7C" w:rsidRDefault="00613D5D" w:rsidP="001365A2">
      <w:pPr>
        <w:spacing w:after="120" w:line="240" w:lineRule="auto"/>
        <w:jc w:val="both"/>
        <w:rPr>
          <w:rFonts w:ascii="Times New Roman" w:hAnsi="Times New Roman" w:cs="Times New Roman"/>
          <w:sz w:val="24"/>
          <w:szCs w:val="24"/>
        </w:rPr>
      </w:pPr>
      <w:r w:rsidRPr="00610788">
        <w:rPr>
          <w:rFonts w:ascii="Times New Roman" w:hAnsi="Times New Roman" w:cs="Times New Roman"/>
          <w:sz w:val="24"/>
          <w:szCs w:val="24"/>
        </w:rPr>
        <w:t>……………………………………………………</w:t>
      </w:r>
      <w:r w:rsidR="00F25212" w:rsidRPr="00610788">
        <w:rPr>
          <w:rFonts w:ascii="Times New Roman" w:hAnsi="Times New Roman" w:cs="Times New Roman"/>
          <w:sz w:val="24"/>
          <w:szCs w:val="24"/>
        </w:rPr>
        <w:t>.</w:t>
      </w:r>
      <w:r w:rsidR="00F25212" w:rsidRPr="00F25212">
        <w:rPr>
          <w:rFonts w:ascii="Times New Roman" w:hAnsi="Times New Roman" w:cs="Times New Roman"/>
          <w:sz w:val="24"/>
          <w:szCs w:val="24"/>
        </w:rPr>
        <w:t xml:space="preserve"> От общо </w:t>
      </w:r>
      <w:r w:rsidR="001C046C">
        <w:rPr>
          <w:rFonts w:ascii="Times New Roman" w:hAnsi="Times New Roman" w:cs="Times New Roman"/>
          <w:sz w:val="24"/>
          <w:szCs w:val="24"/>
        </w:rPr>
        <w:t>…………………</w:t>
      </w:r>
      <w:r w:rsidR="00F25212" w:rsidRPr="00F25212">
        <w:rPr>
          <w:rFonts w:ascii="Times New Roman" w:hAnsi="Times New Roman" w:cs="Times New Roman"/>
          <w:sz w:val="24"/>
          <w:szCs w:val="24"/>
        </w:rPr>
        <w:t xml:space="preserve">., </w:t>
      </w:r>
      <w:r w:rsidR="001C046C">
        <w:rPr>
          <w:rFonts w:ascii="Times New Roman" w:hAnsi="Times New Roman" w:cs="Times New Roman"/>
          <w:sz w:val="24"/>
          <w:szCs w:val="24"/>
        </w:rPr>
        <w:t>…….</w:t>
      </w:r>
      <w:r w:rsidR="00F25212" w:rsidRPr="00F25212">
        <w:rPr>
          <w:rFonts w:ascii="Times New Roman" w:hAnsi="Times New Roman" w:cs="Times New Roman"/>
          <w:sz w:val="24"/>
          <w:szCs w:val="24"/>
        </w:rPr>
        <w:t>. (</w:t>
      </w:r>
      <w:r w:rsidR="001C046C">
        <w:rPr>
          <w:rFonts w:ascii="Times New Roman" w:hAnsi="Times New Roman" w:cs="Times New Roman"/>
          <w:sz w:val="24"/>
          <w:szCs w:val="24"/>
        </w:rPr>
        <w:t>………..</w:t>
      </w:r>
      <w:r w:rsidR="00F25212" w:rsidRPr="00F25212">
        <w:rPr>
          <w:rFonts w:ascii="Times New Roman" w:hAnsi="Times New Roman" w:cs="Times New Roman"/>
          <w:sz w:val="24"/>
          <w:szCs w:val="24"/>
        </w:rPr>
        <w:t xml:space="preserve">%) са приходи от продадена електрическа енергия на Обществения доставчик. За текущия период централата </w:t>
      </w:r>
      <w:r w:rsidR="001C046C">
        <w:rPr>
          <w:rFonts w:ascii="Times New Roman" w:hAnsi="Times New Roman" w:cs="Times New Roman"/>
          <w:sz w:val="24"/>
          <w:szCs w:val="24"/>
        </w:rPr>
        <w:t>………………………</w:t>
      </w:r>
      <w:r w:rsidR="00F25212" w:rsidRPr="00F25212">
        <w:rPr>
          <w:rFonts w:ascii="Times New Roman" w:hAnsi="Times New Roman" w:cs="Times New Roman"/>
          <w:sz w:val="24"/>
          <w:szCs w:val="24"/>
        </w:rPr>
        <w:t xml:space="preserve">, а </w:t>
      </w:r>
      <w:r w:rsidRPr="00610788">
        <w:rPr>
          <w:rFonts w:ascii="Times New Roman" w:hAnsi="Times New Roman" w:cs="Times New Roman"/>
          <w:sz w:val="24"/>
          <w:szCs w:val="24"/>
        </w:rPr>
        <w:t>…………………………………………………………</w:t>
      </w:r>
      <w:r w:rsidR="00F25212" w:rsidRPr="00610788">
        <w:rPr>
          <w:rFonts w:ascii="Times New Roman" w:hAnsi="Times New Roman" w:cs="Times New Roman"/>
          <w:sz w:val="24"/>
          <w:szCs w:val="24"/>
        </w:rPr>
        <w:t>допълнителни</w:t>
      </w:r>
      <w:r w:rsidR="00F25212" w:rsidRPr="00F25212">
        <w:rPr>
          <w:rFonts w:ascii="Times New Roman" w:hAnsi="Times New Roman" w:cs="Times New Roman"/>
          <w:sz w:val="24"/>
          <w:szCs w:val="24"/>
        </w:rPr>
        <w:t xml:space="preserve"> услуги, предоставяни на електроенергийния системен оператор, в</w:t>
      </w:r>
      <w:r w:rsidR="008F2E7C">
        <w:rPr>
          <w:rFonts w:ascii="Times New Roman" w:hAnsi="Times New Roman" w:cs="Times New Roman"/>
          <w:sz w:val="24"/>
          <w:szCs w:val="24"/>
        </w:rPr>
        <w:t xml:space="preserve">ъв връзка с регулиране на ЕЕС. </w:t>
      </w:r>
      <w:r w:rsidR="00F25212" w:rsidRPr="00F25212">
        <w:rPr>
          <w:rFonts w:ascii="Times New Roman" w:hAnsi="Times New Roman" w:cs="Times New Roman"/>
          <w:sz w:val="24"/>
          <w:szCs w:val="24"/>
        </w:rPr>
        <w:t>На графиката по-долу е представена структурата на приходите от дейността на „ТЕЦ Марица изток 2“ЕАД през 2020 г.</w:t>
      </w:r>
    </w:p>
    <w:p w14:paraId="521E6D52" w14:textId="4B465CC5" w:rsidR="00F84C2A" w:rsidRDefault="00F84C2A" w:rsidP="00F84C2A">
      <w:pPr>
        <w:spacing w:after="0" w:line="240" w:lineRule="auto"/>
        <w:jc w:val="both"/>
        <w:rPr>
          <w:rFonts w:ascii="Times New Roman" w:eastAsia="Times New Roman" w:hAnsi="Times New Roman" w:cs="Times New Roman"/>
          <w:sz w:val="24"/>
          <w:szCs w:val="24"/>
          <w:lang w:eastAsia="bg-BG"/>
        </w:rPr>
      </w:pPr>
    </w:p>
    <w:p w14:paraId="7454CFA8" w14:textId="77777777" w:rsidR="00F25212" w:rsidRDefault="00F25212" w:rsidP="005F0563">
      <w:pPr>
        <w:spacing w:after="0" w:line="240" w:lineRule="auto"/>
        <w:jc w:val="both"/>
        <w:rPr>
          <w:rFonts w:ascii="Times New Roman" w:eastAsia="Times New Roman" w:hAnsi="Times New Roman" w:cs="Times New Roman"/>
          <w:b/>
          <w:sz w:val="24"/>
          <w:szCs w:val="24"/>
          <w:lang w:eastAsia="bg-BG"/>
        </w:rPr>
      </w:pPr>
    </w:p>
    <w:p w14:paraId="74AF5D4F" w14:textId="7A4B5079" w:rsidR="00F25212" w:rsidRDefault="00F25212" w:rsidP="001365A2">
      <w:pPr>
        <w:spacing w:after="120" w:line="240" w:lineRule="auto"/>
        <w:jc w:val="both"/>
        <w:rPr>
          <w:rFonts w:ascii="Times New Roman" w:eastAsia="Times New Roman" w:hAnsi="Times New Roman" w:cs="Times New Roman"/>
          <w:sz w:val="24"/>
          <w:szCs w:val="24"/>
          <w:lang w:eastAsia="bg-BG"/>
        </w:rPr>
      </w:pPr>
      <w:r w:rsidRPr="00F25212">
        <w:rPr>
          <w:rFonts w:ascii="Times New Roman" w:eastAsia="Times New Roman" w:hAnsi="Times New Roman" w:cs="Times New Roman"/>
          <w:sz w:val="24"/>
          <w:szCs w:val="24"/>
          <w:lang w:eastAsia="bg-BG"/>
        </w:rPr>
        <w:t>Производството и приходите на „ТЕЦ Марица изток 2“ЕАД до края на 2020 г., следват очертаната през първото полугодие тенденция – участие предимно на регулиран пазар, въз основа на издадена от Министъра на енергетиката заповед и Решение № Ц-29 /01.07.2020 г. на КЕВР. С приетите законодателни  промени с които се отменя досегашната практика за провеждане на търгове за студен резерв и въвеждането на задължително гарантиране на сигурността на доставките през есенно-зимния период чрез производствените мощности на „ТЕЦ Марица изток 2“</w:t>
      </w:r>
      <w:r w:rsidR="00091684">
        <w:rPr>
          <w:rFonts w:ascii="Times New Roman" w:eastAsia="Times New Roman" w:hAnsi="Times New Roman" w:cs="Times New Roman"/>
          <w:sz w:val="24"/>
          <w:szCs w:val="24"/>
          <w:lang w:eastAsia="bg-BG"/>
        </w:rPr>
        <w:t xml:space="preserve"> </w:t>
      </w:r>
      <w:r w:rsidRPr="00F25212">
        <w:rPr>
          <w:rFonts w:ascii="Times New Roman" w:eastAsia="Times New Roman" w:hAnsi="Times New Roman" w:cs="Times New Roman"/>
          <w:sz w:val="24"/>
          <w:szCs w:val="24"/>
          <w:lang w:eastAsia="bg-BG"/>
        </w:rPr>
        <w:t>ЕАД ще доведат до промени в обема на планираните приходи, едва след като се определи механизъм, чрез който да се заплащат разходите на централата за поддържане на блоковете в готовност за предоставяне на допълнителни количества електрическа енергия.</w:t>
      </w:r>
    </w:p>
    <w:p w14:paraId="1EEC6C1E" w14:textId="32DD99A6" w:rsidR="00FD4FE4" w:rsidRPr="001365A2" w:rsidRDefault="00FD4FE4" w:rsidP="001365A2">
      <w:pPr>
        <w:spacing w:after="120" w:line="240" w:lineRule="auto"/>
        <w:jc w:val="both"/>
        <w:rPr>
          <w:rFonts w:ascii="Times New Roman" w:hAnsi="Times New Roman" w:cs="Times New Roman"/>
          <w:b/>
          <w:bCs/>
          <w:sz w:val="24"/>
          <w:szCs w:val="24"/>
        </w:rPr>
      </w:pPr>
      <w:r w:rsidRPr="001365A2">
        <w:rPr>
          <w:rFonts w:ascii="Times New Roman" w:eastAsia="Times New Roman" w:hAnsi="Times New Roman" w:cs="Times New Roman"/>
          <w:b/>
          <w:bCs/>
          <w:sz w:val="24"/>
          <w:szCs w:val="24"/>
          <w:lang w:eastAsia="bg-BG"/>
        </w:rPr>
        <w:t>На 22.01.2021 г.</w:t>
      </w:r>
      <w:r w:rsidR="00E30AC6" w:rsidRPr="001365A2">
        <w:rPr>
          <w:rFonts w:ascii="Times New Roman" w:eastAsia="Times New Roman" w:hAnsi="Times New Roman" w:cs="Times New Roman"/>
          <w:b/>
          <w:bCs/>
          <w:sz w:val="24"/>
          <w:szCs w:val="24"/>
          <w:lang w:eastAsia="bg-BG"/>
        </w:rPr>
        <w:t xml:space="preserve"> настъпва авария при извършване на </w:t>
      </w:r>
      <w:r w:rsidR="00E30AC6" w:rsidRPr="001365A2">
        <w:rPr>
          <w:rFonts w:ascii="Times New Roman" w:hAnsi="Times New Roman" w:cs="Times New Roman"/>
          <w:b/>
          <w:bCs/>
          <w:sz w:val="24"/>
          <w:szCs w:val="24"/>
        </w:rPr>
        <w:t xml:space="preserve">технологична операция и задействане автоматичната защита на блок 5 на </w:t>
      </w:r>
      <w:r w:rsidR="00610788">
        <w:rPr>
          <w:rFonts w:ascii="Times New Roman" w:hAnsi="Times New Roman" w:cs="Times New Roman"/>
          <w:b/>
          <w:bCs/>
          <w:sz w:val="24"/>
          <w:szCs w:val="24"/>
        </w:rPr>
        <w:t>„</w:t>
      </w:r>
      <w:r w:rsidR="00E30AC6" w:rsidRPr="001365A2">
        <w:rPr>
          <w:rFonts w:ascii="Times New Roman" w:hAnsi="Times New Roman" w:cs="Times New Roman"/>
          <w:b/>
          <w:bCs/>
          <w:sz w:val="24"/>
          <w:szCs w:val="24"/>
        </w:rPr>
        <w:t>АЕЦ</w:t>
      </w:r>
      <w:r w:rsidR="00610788">
        <w:rPr>
          <w:rFonts w:ascii="Times New Roman" w:hAnsi="Times New Roman" w:cs="Times New Roman"/>
          <w:b/>
          <w:bCs/>
          <w:sz w:val="24"/>
          <w:szCs w:val="24"/>
        </w:rPr>
        <w:t xml:space="preserve"> </w:t>
      </w:r>
      <w:r w:rsidR="00E30AC6" w:rsidRPr="001365A2">
        <w:rPr>
          <w:rFonts w:ascii="Times New Roman" w:hAnsi="Times New Roman" w:cs="Times New Roman"/>
          <w:b/>
          <w:bCs/>
          <w:sz w:val="24"/>
          <w:szCs w:val="24"/>
        </w:rPr>
        <w:t>Козлодуй“ ЕАД при което се нал</w:t>
      </w:r>
      <w:r w:rsidR="00E41EF9">
        <w:rPr>
          <w:rFonts w:ascii="Times New Roman" w:hAnsi="Times New Roman" w:cs="Times New Roman"/>
          <w:b/>
          <w:bCs/>
          <w:sz w:val="24"/>
          <w:szCs w:val="24"/>
        </w:rPr>
        <w:t>ожи</w:t>
      </w:r>
      <w:r w:rsidR="00E30AC6" w:rsidRPr="001365A2">
        <w:rPr>
          <w:rFonts w:ascii="Times New Roman" w:hAnsi="Times New Roman" w:cs="Times New Roman"/>
          <w:b/>
          <w:bCs/>
          <w:sz w:val="24"/>
          <w:szCs w:val="24"/>
        </w:rPr>
        <w:t xml:space="preserve"> да </w:t>
      </w:r>
      <w:r w:rsidR="00402FF8" w:rsidRPr="001365A2">
        <w:rPr>
          <w:rFonts w:ascii="Times New Roman" w:hAnsi="Times New Roman" w:cs="Times New Roman"/>
          <w:b/>
          <w:bCs/>
          <w:sz w:val="24"/>
          <w:szCs w:val="24"/>
        </w:rPr>
        <w:t>бъд</w:t>
      </w:r>
      <w:r w:rsidR="00402FF8">
        <w:rPr>
          <w:rFonts w:ascii="Times New Roman" w:hAnsi="Times New Roman" w:cs="Times New Roman"/>
          <w:b/>
          <w:bCs/>
          <w:sz w:val="24"/>
          <w:szCs w:val="24"/>
        </w:rPr>
        <w:t>ат</w:t>
      </w:r>
      <w:r w:rsidR="00402FF8" w:rsidRPr="001365A2">
        <w:rPr>
          <w:rFonts w:ascii="Times New Roman" w:hAnsi="Times New Roman" w:cs="Times New Roman"/>
          <w:b/>
          <w:bCs/>
          <w:sz w:val="24"/>
          <w:szCs w:val="24"/>
        </w:rPr>
        <w:t xml:space="preserve"> </w:t>
      </w:r>
      <w:r w:rsidR="00E30AC6" w:rsidRPr="001365A2">
        <w:rPr>
          <w:rFonts w:ascii="Times New Roman" w:hAnsi="Times New Roman" w:cs="Times New Roman"/>
          <w:b/>
          <w:bCs/>
          <w:sz w:val="24"/>
          <w:szCs w:val="24"/>
        </w:rPr>
        <w:t>активиран</w:t>
      </w:r>
      <w:r w:rsidR="00402FF8">
        <w:rPr>
          <w:rFonts w:ascii="Times New Roman" w:hAnsi="Times New Roman" w:cs="Times New Roman"/>
          <w:b/>
          <w:bCs/>
          <w:sz w:val="24"/>
          <w:szCs w:val="24"/>
        </w:rPr>
        <w:t>и</w:t>
      </w:r>
      <w:r w:rsidR="00E30AC6" w:rsidRPr="001365A2">
        <w:rPr>
          <w:rFonts w:ascii="Times New Roman" w:hAnsi="Times New Roman" w:cs="Times New Roman"/>
          <w:b/>
          <w:bCs/>
          <w:sz w:val="24"/>
          <w:szCs w:val="24"/>
        </w:rPr>
        <w:t xml:space="preserve"> блок 5</w:t>
      </w:r>
      <w:r w:rsidR="00E41EF9">
        <w:rPr>
          <w:rFonts w:ascii="Times New Roman" w:hAnsi="Times New Roman" w:cs="Times New Roman"/>
          <w:b/>
          <w:bCs/>
          <w:sz w:val="24"/>
          <w:szCs w:val="24"/>
        </w:rPr>
        <w:t xml:space="preserve"> за времето от 10,52 часа до 24,00 часа</w:t>
      </w:r>
      <w:r w:rsidR="00E30AC6" w:rsidRPr="001365A2">
        <w:rPr>
          <w:rFonts w:ascii="Times New Roman" w:hAnsi="Times New Roman" w:cs="Times New Roman"/>
          <w:b/>
          <w:bCs/>
          <w:sz w:val="24"/>
          <w:szCs w:val="24"/>
        </w:rPr>
        <w:t xml:space="preserve"> и блок 6 </w:t>
      </w:r>
      <w:r w:rsidR="00E41EF9">
        <w:rPr>
          <w:rFonts w:ascii="Times New Roman" w:hAnsi="Times New Roman" w:cs="Times New Roman"/>
          <w:b/>
          <w:bCs/>
          <w:sz w:val="24"/>
          <w:szCs w:val="24"/>
        </w:rPr>
        <w:t>за времето от 10,11 часа до 24,00 часа</w:t>
      </w:r>
      <w:r w:rsidR="00E41EF9" w:rsidRPr="001365A2">
        <w:rPr>
          <w:rFonts w:ascii="Times New Roman" w:hAnsi="Times New Roman" w:cs="Times New Roman"/>
          <w:b/>
          <w:bCs/>
          <w:sz w:val="24"/>
          <w:szCs w:val="24"/>
        </w:rPr>
        <w:t xml:space="preserve"> </w:t>
      </w:r>
      <w:r w:rsidR="00E30AC6" w:rsidRPr="001365A2">
        <w:rPr>
          <w:rFonts w:ascii="Times New Roman" w:hAnsi="Times New Roman" w:cs="Times New Roman"/>
          <w:b/>
          <w:bCs/>
          <w:sz w:val="24"/>
          <w:szCs w:val="24"/>
        </w:rPr>
        <w:t xml:space="preserve">от „ТЕЦ Марица изток 2“ ЕАД за гарантиране сигурността на енергийните доставки в национален мащаб, като Дружеството няма </w:t>
      </w:r>
      <w:r w:rsidR="00315541" w:rsidRPr="001365A2">
        <w:rPr>
          <w:rFonts w:ascii="Times New Roman" w:hAnsi="Times New Roman" w:cs="Times New Roman"/>
          <w:b/>
          <w:bCs/>
          <w:sz w:val="24"/>
          <w:szCs w:val="24"/>
        </w:rPr>
        <w:t xml:space="preserve">подписан договор с „ЕСО“ ЕАД и не е платена </w:t>
      </w:r>
      <w:proofErr w:type="spellStart"/>
      <w:r w:rsidR="00315541" w:rsidRPr="001365A2">
        <w:rPr>
          <w:rFonts w:ascii="Times New Roman" w:hAnsi="Times New Roman" w:cs="Times New Roman"/>
          <w:b/>
          <w:bCs/>
          <w:sz w:val="24"/>
          <w:szCs w:val="24"/>
        </w:rPr>
        <w:t>разполагаемост</w:t>
      </w:r>
      <w:proofErr w:type="spellEnd"/>
      <w:r w:rsidR="00315541" w:rsidRPr="001365A2">
        <w:rPr>
          <w:rFonts w:ascii="Times New Roman" w:hAnsi="Times New Roman" w:cs="Times New Roman"/>
          <w:b/>
          <w:bCs/>
          <w:sz w:val="24"/>
          <w:szCs w:val="24"/>
        </w:rPr>
        <w:t xml:space="preserve"> за студен резерв. </w:t>
      </w:r>
      <w:r w:rsidR="00323764">
        <w:rPr>
          <w:rFonts w:ascii="Times New Roman" w:hAnsi="Times New Roman" w:cs="Times New Roman"/>
          <w:b/>
          <w:bCs/>
          <w:sz w:val="24"/>
          <w:szCs w:val="24"/>
        </w:rPr>
        <w:t xml:space="preserve">Ел. енергията, предоставена на „ЕСО“ ЕАД е заплатена по цена </w:t>
      </w:r>
      <w:r w:rsidR="0031208D">
        <w:rPr>
          <w:rFonts w:ascii="Times New Roman" w:hAnsi="Times New Roman" w:cs="Times New Roman"/>
          <w:b/>
          <w:bCs/>
          <w:sz w:val="24"/>
          <w:szCs w:val="24"/>
        </w:rPr>
        <w:t xml:space="preserve">за </w:t>
      </w:r>
      <w:r w:rsidR="00323764">
        <w:rPr>
          <w:rFonts w:ascii="Times New Roman" w:hAnsi="Times New Roman" w:cs="Times New Roman"/>
          <w:b/>
          <w:bCs/>
          <w:sz w:val="24"/>
          <w:szCs w:val="24"/>
        </w:rPr>
        <w:t>регулиране нагоре, като р</w:t>
      </w:r>
      <w:r w:rsidR="00315541" w:rsidRPr="001365A2">
        <w:rPr>
          <w:rFonts w:ascii="Times New Roman" w:hAnsi="Times New Roman" w:cs="Times New Roman"/>
          <w:b/>
          <w:bCs/>
          <w:sz w:val="24"/>
          <w:szCs w:val="24"/>
        </w:rPr>
        <w:t>азходите за пуск</w:t>
      </w:r>
      <w:r w:rsidR="00323764">
        <w:rPr>
          <w:rFonts w:ascii="Times New Roman" w:hAnsi="Times New Roman" w:cs="Times New Roman"/>
          <w:b/>
          <w:bCs/>
          <w:sz w:val="24"/>
          <w:szCs w:val="24"/>
        </w:rPr>
        <w:t xml:space="preserve"> и последващо спиране на енергоблоковете, които</w:t>
      </w:r>
      <w:r w:rsidR="00315541" w:rsidRPr="001365A2">
        <w:rPr>
          <w:rFonts w:ascii="Times New Roman" w:hAnsi="Times New Roman" w:cs="Times New Roman"/>
          <w:b/>
          <w:bCs/>
          <w:sz w:val="24"/>
          <w:szCs w:val="24"/>
        </w:rPr>
        <w:t xml:space="preserve"> </w:t>
      </w:r>
      <w:r w:rsidR="00DF661A">
        <w:rPr>
          <w:rFonts w:ascii="Times New Roman" w:hAnsi="Times New Roman" w:cs="Times New Roman"/>
          <w:b/>
          <w:bCs/>
          <w:sz w:val="24"/>
          <w:szCs w:val="24"/>
        </w:rPr>
        <w:t xml:space="preserve">за такъв кратък период на работа </w:t>
      </w:r>
      <w:r w:rsidR="00315541" w:rsidRPr="001365A2">
        <w:rPr>
          <w:rFonts w:ascii="Times New Roman" w:hAnsi="Times New Roman" w:cs="Times New Roman"/>
          <w:b/>
          <w:bCs/>
          <w:sz w:val="24"/>
          <w:szCs w:val="24"/>
        </w:rPr>
        <w:t xml:space="preserve">са извънредни разходи </w:t>
      </w:r>
      <w:r w:rsidR="004D7150" w:rsidRPr="001365A2">
        <w:rPr>
          <w:rFonts w:ascii="Times New Roman" w:hAnsi="Times New Roman" w:cs="Times New Roman"/>
          <w:b/>
          <w:bCs/>
          <w:sz w:val="24"/>
          <w:szCs w:val="24"/>
        </w:rPr>
        <w:t xml:space="preserve">над обичайните за производство на </w:t>
      </w:r>
      <w:proofErr w:type="spellStart"/>
      <w:r w:rsidR="004D7150" w:rsidRPr="001365A2">
        <w:rPr>
          <w:rFonts w:ascii="Times New Roman" w:hAnsi="Times New Roman" w:cs="Times New Roman"/>
          <w:b/>
          <w:bCs/>
          <w:sz w:val="24"/>
          <w:szCs w:val="24"/>
        </w:rPr>
        <w:t>ел.енергия</w:t>
      </w:r>
      <w:proofErr w:type="spellEnd"/>
      <w:r w:rsidR="00323764">
        <w:rPr>
          <w:rFonts w:ascii="Times New Roman" w:hAnsi="Times New Roman" w:cs="Times New Roman"/>
          <w:b/>
          <w:bCs/>
          <w:sz w:val="24"/>
          <w:szCs w:val="24"/>
        </w:rPr>
        <w:t xml:space="preserve">, </w:t>
      </w:r>
      <w:r w:rsidR="004D7150" w:rsidRPr="001365A2">
        <w:rPr>
          <w:rFonts w:ascii="Times New Roman" w:hAnsi="Times New Roman" w:cs="Times New Roman"/>
          <w:b/>
          <w:bCs/>
          <w:sz w:val="24"/>
          <w:szCs w:val="24"/>
        </w:rPr>
        <w:t xml:space="preserve"> не са калкулирани в цената й.</w:t>
      </w:r>
      <w:r w:rsidR="00315541" w:rsidRPr="001365A2">
        <w:rPr>
          <w:rFonts w:ascii="Times New Roman" w:hAnsi="Times New Roman" w:cs="Times New Roman"/>
          <w:b/>
          <w:bCs/>
          <w:sz w:val="24"/>
          <w:szCs w:val="24"/>
        </w:rPr>
        <w:t xml:space="preserve"> </w:t>
      </w:r>
    </w:p>
    <w:p w14:paraId="199D4653" w14:textId="026ED525" w:rsidR="00F25212" w:rsidRDefault="00F25212" w:rsidP="001365A2">
      <w:pPr>
        <w:spacing w:after="120" w:line="240" w:lineRule="auto"/>
        <w:jc w:val="both"/>
        <w:rPr>
          <w:rFonts w:ascii="Times New Roman" w:eastAsia="Times New Roman" w:hAnsi="Times New Roman" w:cs="Times New Roman"/>
          <w:sz w:val="24"/>
          <w:szCs w:val="24"/>
          <w:lang w:eastAsia="bg-BG"/>
        </w:rPr>
      </w:pPr>
      <w:r w:rsidRPr="00F25212">
        <w:rPr>
          <w:rFonts w:ascii="Times New Roman" w:eastAsia="Times New Roman" w:hAnsi="Times New Roman" w:cs="Times New Roman"/>
          <w:sz w:val="24"/>
          <w:szCs w:val="24"/>
          <w:lang w:eastAsia="bg-BG"/>
        </w:rPr>
        <w:t xml:space="preserve">През второто полугодие на 2020 г., влиянието на COVID-19 кризата върху приходите от продажби е все още негативно, като борсовите пазари в момента не дават признаци за възстановяване на търгуваните обеми и цени, спрямо данните от края на миналата година. На графиката по-долу е представена структурата на производството за 2020 г., от която е видно, че през текущата година делът на енергията предоставена на регулирания пазар е в размер на </w:t>
      </w:r>
      <w:r w:rsidR="001C046C">
        <w:rPr>
          <w:rFonts w:ascii="Times New Roman" w:eastAsia="Times New Roman" w:hAnsi="Times New Roman" w:cs="Times New Roman"/>
          <w:sz w:val="24"/>
          <w:szCs w:val="24"/>
          <w:lang w:eastAsia="bg-BG"/>
        </w:rPr>
        <w:t>..…..</w:t>
      </w:r>
      <w:r w:rsidR="001C046C" w:rsidRPr="00F25212">
        <w:rPr>
          <w:rFonts w:ascii="Times New Roman" w:eastAsia="Times New Roman" w:hAnsi="Times New Roman" w:cs="Times New Roman"/>
          <w:sz w:val="24"/>
          <w:szCs w:val="24"/>
          <w:lang w:eastAsia="bg-BG"/>
        </w:rPr>
        <w:t xml:space="preserve"> </w:t>
      </w:r>
      <w:r w:rsidRPr="00F25212">
        <w:rPr>
          <w:rFonts w:ascii="Times New Roman" w:eastAsia="Times New Roman" w:hAnsi="Times New Roman" w:cs="Times New Roman"/>
          <w:sz w:val="24"/>
          <w:szCs w:val="24"/>
          <w:lang w:eastAsia="bg-BG"/>
        </w:rPr>
        <w:t>на сто от общото нетно производство.</w:t>
      </w:r>
    </w:p>
    <w:p w14:paraId="247F9E2F" w14:textId="77777777" w:rsidR="00053B27" w:rsidRPr="00053B27" w:rsidRDefault="00053B27" w:rsidP="001365A2">
      <w:pPr>
        <w:spacing w:after="120" w:line="240" w:lineRule="auto"/>
        <w:jc w:val="both"/>
        <w:rPr>
          <w:rFonts w:ascii="Times New Roman" w:eastAsia="Times New Roman" w:hAnsi="Times New Roman" w:cs="Times New Roman"/>
          <w:b/>
          <w:sz w:val="24"/>
          <w:szCs w:val="24"/>
          <w:lang w:eastAsia="bg-BG"/>
        </w:rPr>
      </w:pPr>
      <w:r w:rsidRPr="00053B27">
        <w:rPr>
          <w:rFonts w:ascii="Times New Roman" w:eastAsia="Times New Roman" w:hAnsi="Times New Roman" w:cs="Times New Roman"/>
          <w:b/>
          <w:sz w:val="24"/>
          <w:szCs w:val="24"/>
          <w:lang w:eastAsia="bg-BG"/>
        </w:rPr>
        <w:t>Влияние на борсовия пазар върху приходите от продажби през 2020 г.</w:t>
      </w:r>
    </w:p>
    <w:p w14:paraId="24C7BF74" w14:textId="77777777" w:rsidR="00053B27" w:rsidRPr="00053B27" w:rsidRDefault="00053B27" w:rsidP="001365A2">
      <w:pPr>
        <w:spacing w:after="120" w:line="240" w:lineRule="auto"/>
        <w:jc w:val="both"/>
        <w:rPr>
          <w:rFonts w:ascii="Times New Roman" w:eastAsia="Times New Roman" w:hAnsi="Times New Roman" w:cs="Times New Roman"/>
          <w:sz w:val="24"/>
          <w:szCs w:val="24"/>
          <w:lang w:eastAsia="bg-BG"/>
        </w:rPr>
      </w:pPr>
      <w:r w:rsidRPr="00053B27">
        <w:rPr>
          <w:rFonts w:ascii="Times New Roman" w:eastAsia="Times New Roman" w:hAnsi="Times New Roman" w:cs="Times New Roman"/>
          <w:sz w:val="24"/>
          <w:szCs w:val="24"/>
          <w:lang w:eastAsia="bg-BG"/>
        </w:rPr>
        <w:t>Публикуваните от Българската независима енергийна борса почасови, дневни и месечни доклади за търгуваните обеми и цени на отделните пазарни платформи са основен източник на данни за анализиране на тенденциите и изготвяне на индивидуални пазарни прогнози в краткосрочен или средно срочен план. Отчитането на допълнителни фактори като промените в регулаторната среда, влиянието на международните борсови котировки на квотите за емисии, степента на либерализация на цените на енергийни услуги, облекченият режим за трансграничен обмен на енергия със съседни пазарни зони, както и други специфични за самия производител, формират цялостната база за прогнозиране на приходите и разходите за периода на бизнес плана.</w:t>
      </w:r>
    </w:p>
    <w:p w14:paraId="4752A833" w14:textId="77777777" w:rsidR="00053B27" w:rsidRPr="00053B27" w:rsidRDefault="00053B27" w:rsidP="001365A2">
      <w:pPr>
        <w:spacing w:after="120" w:line="240" w:lineRule="auto"/>
        <w:jc w:val="both"/>
        <w:rPr>
          <w:rFonts w:ascii="Times New Roman" w:eastAsia="Times New Roman" w:hAnsi="Times New Roman" w:cs="Times New Roman"/>
          <w:sz w:val="24"/>
          <w:szCs w:val="24"/>
          <w:lang w:eastAsia="bg-BG"/>
        </w:rPr>
      </w:pPr>
      <w:r w:rsidRPr="00053B27">
        <w:rPr>
          <w:rFonts w:ascii="Times New Roman" w:eastAsia="Times New Roman" w:hAnsi="Times New Roman" w:cs="Times New Roman"/>
          <w:sz w:val="24"/>
          <w:szCs w:val="24"/>
          <w:lang w:eastAsia="bg-BG"/>
        </w:rPr>
        <w:t xml:space="preserve">Видно от представените данни на графиката по-долу, през второто полугодие на 2019 г. се наблюдава траен ръст на </w:t>
      </w:r>
      <w:proofErr w:type="spellStart"/>
      <w:r w:rsidRPr="00053B27">
        <w:rPr>
          <w:rFonts w:ascii="Times New Roman" w:eastAsia="Times New Roman" w:hAnsi="Times New Roman" w:cs="Times New Roman"/>
          <w:sz w:val="24"/>
          <w:szCs w:val="24"/>
          <w:lang w:eastAsia="bg-BG"/>
        </w:rPr>
        <w:t>среднопретеглената</w:t>
      </w:r>
      <w:proofErr w:type="spellEnd"/>
      <w:r w:rsidRPr="00053B27">
        <w:rPr>
          <w:rFonts w:ascii="Times New Roman" w:eastAsia="Times New Roman" w:hAnsi="Times New Roman" w:cs="Times New Roman"/>
          <w:sz w:val="24"/>
          <w:szCs w:val="24"/>
          <w:lang w:eastAsia="bg-BG"/>
        </w:rPr>
        <w:t xml:space="preserve"> цена на платформата „ЦПДД“. Това е и периодът, във който обемите на търгуваните количества на борсовия пазар бележат увеличение. От началото на 2020 г., тази тенденция се запазва през януари и февруари, докато след месец март се наблюдава рязък спад на цените във всички пазарни сегменти. Аналогични са констатациите и при търгуваните обеми. В периода март-юни 2020 г. търгуваните обеми на борсовия пазар са минимални, а за месец юли 2020 г. на сегмента „ЦПДД“ няма сключена нито една сделка. </w:t>
      </w:r>
    </w:p>
    <w:p w14:paraId="490B785B" w14:textId="77777777" w:rsidR="00053B27" w:rsidRDefault="00053B27" w:rsidP="001365A2">
      <w:pPr>
        <w:spacing w:after="120" w:line="240" w:lineRule="auto"/>
        <w:jc w:val="both"/>
        <w:rPr>
          <w:rFonts w:ascii="Times New Roman" w:eastAsia="Times New Roman" w:hAnsi="Times New Roman" w:cs="Times New Roman"/>
          <w:sz w:val="24"/>
          <w:szCs w:val="24"/>
          <w:lang w:eastAsia="bg-BG"/>
        </w:rPr>
      </w:pPr>
    </w:p>
    <w:p w14:paraId="58150E01" w14:textId="77777777" w:rsidR="00053B27" w:rsidRPr="00053B27" w:rsidRDefault="00053B27" w:rsidP="001365A2">
      <w:pPr>
        <w:spacing w:after="120" w:line="240" w:lineRule="auto"/>
        <w:jc w:val="both"/>
        <w:rPr>
          <w:rFonts w:ascii="Times New Roman" w:eastAsia="Times New Roman" w:hAnsi="Times New Roman" w:cs="Times New Roman"/>
          <w:sz w:val="24"/>
          <w:szCs w:val="24"/>
          <w:lang w:eastAsia="bg-BG"/>
        </w:rPr>
      </w:pPr>
      <w:r w:rsidRPr="00053B27">
        <w:rPr>
          <w:rFonts w:ascii="Times New Roman" w:eastAsia="Times New Roman" w:hAnsi="Times New Roman" w:cs="Times New Roman"/>
          <w:sz w:val="24"/>
          <w:szCs w:val="24"/>
          <w:lang w:eastAsia="bg-BG"/>
        </w:rPr>
        <w:lastRenderedPageBreak/>
        <w:t>Драстично е намалението на цените и на платформата „Ден напред“, като в периода на COVID-19 кризата, цената за базов товар намалява до стойности от 55,31 лв./</w:t>
      </w:r>
      <w:proofErr w:type="spellStart"/>
      <w:r w:rsidRPr="00053B27">
        <w:rPr>
          <w:rFonts w:ascii="Times New Roman" w:eastAsia="Times New Roman" w:hAnsi="Times New Roman" w:cs="Times New Roman"/>
          <w:sz w:val="24"/>
          <w:szCs w:val="24"/>
          <w:lang w:eastAsia="bg-BG"/>
        </w:rPr>
        <w:t>МВтч</w:t>
      </w:r>
      <w:proofErr w:type="spellEnd"/>
      <w:r w:rsidRPr="00053B27">
        <w:rPr>
          <w:rFonts w:ascii="Times New Roman" w:eastAsia="Times New Roman" w:hAnsi="Times New Roman" w:cs="Times New Roman"/>
          <w:sz w:val="24"/>
          <w:szCs w:val="24"/>
          <w:lang w:eastAsia="bg-BG"/>
        </w:rPr>
        <w:t xml:space="preserve"> и 45,70 лв./</w:t>
      </w:r>
      <w:proofErr w:type="spellStart"/>
      <w:r w:rsidRPr="00053B27">
        <w:rPr>
          <w:rFonts w:ascii="Times New Roman" w:eastAsia="Times New Roman" w:hAnsi="Times New Roman" w:cs="Times New Roman"/>
          <w:sz w:val="24"/>
          <w:szCs w:val="24"/>
          <w:lang w:eastAsia="bg-BG"/>
        </w:rPr>
        <w:t>МВтч</w:t>
      </w:r>
      <w:proofErr w:type="spellEnd"/>
      <w:r w:rsidRPr="00053B27">
        <w:rPr>
          <w:rFonts w:ascii="Times New Roman" w:eastAsia="Times New Roman" w:hAnsi="Times New Roman" w:cs="Times New Roman"/>
          <w:sz w:val="24"/>
          <w:szCs w:val="24"/>
          <w:lang w:eastAsia="bg-BG"/>
        </w:rPr>
        <w:t>-за месец май, абсолютен минимум регистриран до този момент. Видно от графиката по-долу, през месеците юли и октомври, въпреки наличните производствени мощности няма сключени сделки на платформата „ЦПДД“. По-голяма част от търгуваните обеми в страната са предимно на платформите „Ден напред“ и в „рамките на деня“, тъй като търговците се опитват да избягват по-дългосрочни продукти, предвид несигурността на пазара и непредвидимостта по отношение на стабилизирането на основните икономически дейности.</w:t>
      </w:r>
    </w:p>
    <w:p w14:paraId="031BB586" w14:textId="4AE96776" w:rsidR="00053B27" w:rsidRPr="00F25212" w:rsidRDefault="00053B27" w:rsidP="001365A2">
      <w:pPr>
        <w:spacing w:after="120" w:line="240" w:lineRule="auto"/>
        <w:jc w:val="both"/>
        <w:rPr>
          <w:rFonts w:ascii="Times New Roman" w:eastAsia="Times New Roman" w:hAnsi="Times New Roman" w:cs="Times New Roman"/>
          <w:sz w:val="24"/>
          <w:szCs w:val="24"/>
          <w:lang w:eastAsia="bg-BG"/>
        </w:rPr>
      </w:pPr>
      <w:r w:rsidRPr="00053B27">
        <w:rPr>
          <w:rFonts w:ascii="Times New Roman" w:eastAsia="Times New Roman" w:hAnsi="Times New Roman" w:cs="Times New Roman"/>
          <w:sz w:val="24"/>
          <w:szCs w:val="24"/>
          <w:lang w:eastAsia="bg-BG"/>
        </w:rPr>
        <w:t xml:space="preserve">Пандемията от COVID-19 оказа сериозно влияние върху състоянието на електроенергийния пазар у нас през първото полугодие на 2020 г., в следствие на което е налице драстичен спад на търсенето на електроенергия, осезаемо понижение на цените на енергийните борси както и чувствително намаление на производствените обеми до абсолютен минимум. Пазарните котировки на квотите за емисии възстановиха своето възходящо движение след регистрирания спад към края на първото тримесечие на 2020 г., като от друга страна не е налице пропорционално повишение на цените на реализираната електроенергия. </w:t>
      </w:r>
      <w:r w:rsidR="00613D5D">
        <w:rPr>
          <w:rFonts w:ascii="Times New Roman" w:eastAsia="Times New Roman" w:hAnsi="Times New Roman" w:cs="Times New Roman"/>
          <w:sz w:val="24"/>
          <w:szCs w:val="24"/>
          <w:lang w:eastAsia="bg-BG"/>
        </w:rPr>
        <w:t>...............................................................................................................................................................................</w:t>
      </w:r>
      <w:r w:rsidRPr="00053B27">
        <w:rPr>
          <w:rFonts w:ascii="Times New Roman" w:eastAsia="Times New Roman" w:hAnsi="Times New Roman" w:cs="Times New Roman"/>
          <w:sz w:val="24"/>
          <w:szCs w:val="24"/>
          <w:lang w:eastAsia="bg-BG"/>
        </w:rPr>
        <w:t xml:space="preserve"> Икономическите последици от COVID-19 кризата ще окажат съществено влияние върху поведението на пазарните участници в краткосрочен и средносрочен план. Като очакванията на повечето международни експерти е свързано с бавно и продължително възстановяване на нормалния икономически живот в периода 2021 - 2023 г.</w:t>
      </w:r>
    </w:p>
    <w:p w14:paraId="590F8170" w14:textId="77777777" w:rsidR="00F25212" w:rsidRDefault="00F25212" w:rsidP="001365A2">
      <w:pPr>
        <w:spacing w:after="120" w:line="240" w:lineRule="auto"/>
        <w:jc w:val="both"/>
        <w:rPr>
          <w:rFonts w:ascii="Times New Roman" w:eastAsia="Times New Roman" w:hAnsi="Times New Roman" w:cs="Times New Roman"/>
          <w:b/>
          <w:sz w:val="24"/>
          <w:szCs w:val="24"/>
          <w:lang w:eastAsia="bg-BG"/>
        </w:rPr>
      </w:pPr>
    </w:p>
    <w:p w14:paraId="42E58287" w14:textId="77777777" w:rsidR="00F25212" w:rsidRDefault="00053B27" w:rsidP="005F0563">
      <w:pPr>
        <w:spacing w:after="0" w:line="240" w:lineRule="auto"/>
        <w:jc w:val="both"/>
        <w:rPr>
          <w:rFonts w:ascii="Times New Roman" w:eastAsia="Times New Roman" w:hAnsi="Times New Roman" w:cs="Times New Roman"/>
          <w:b/>
          <w:sz w:val="24"/>
          <w:szCs w:val="24"/>
          <w:lang w:eastAsia="bg-BG"/>
        </w:rPr>
      </w:pPr>
      <w:r>
        <w:rPr>
          <w:noProof/>
          <w:sz w:val="24"/>
          <w:szCs w:val="24"/>
          <w:lang w:eastAsia="bg-BG"/>
        </w:rPr>
        <w:drawing>
          <wp:inline distT="0" distB="0" distL="0" distR="0" wp14:anchorId="735B989F" wp14:editId="1BFAFE41">
            <wp:extent cx="5468620" cy="27559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8620" cy="2755900"/>
                    </a:xfrm>
                    <a:prstGeom prst="rect">
                      <a:avLst/>
                    </a:prstGeom>
                    <a:noFill/>
                  </pic:spPr>
                </pic:pic>
              </a:graphicData>
            </a:graphic>
          </wp:inline>
        </w:drawing>
      </w:r>
    </w:p>
    <w:p w14:paraId="79CD418B" w14:textId="77777777" w:rsidR="00053B27" w:rsidRPr="00053B27" w:rsidRDefault="00053B27" w:rsidP="005F0563">
      <w:pPr>
        <w:spacing w:after="0" w:line="240" w:lineRule="auto"/>
        <w:jc w:val="both"/>
        <w:rPr>
          <w:rFonts w:ascii="Times New Roman" w:eastAsia="Times New Roman" w:hAnsi="Times New Roman" w:cs="Times New Roman"/>
          <w:i/>
          <w:sz w:val="24"/>
          <w:szCs w:val="24"/>
          <w:lang w:eastAsia="bg-BG"/>
        </w:rPr>
      </w:pPr>
      <w:r w:rsidRPr="00053B27">
        <w:rPr>
          <w:rFonts w:ascii="Times New Roman" w:eastAsia="Times New Roman" w:hAnsi="Times New Roman" w:cs="Times New Roman"/>
          <w:i/>
          <w:sz w:val="24"/>
          <w:szCs w:val="24"/>
          <w:lang w:eastAsia="bg-BG"/>
        </w:rPr>
        <w:t>*Източник: БНЕБ</w:t>
      </w:r>
    </w:p>
    <w:p w14:paraId="52585CCB" w14:textId="77777777" w:rsidR="00053B27" w:rsidRDefault="00053B27" w:rsidP="005F0563">
      <w:pPr>
        <w:spacing w:after="0" w:line="240" w:lineRule="auto"/>
        <w:jc w:val="both"/>
        <w:rPr>
          <w:rFonts w:ascii="Times New Roman" w:eastAsia="Times New Roman" w:hAnsi="Times New Roman" w:cs="Times New Roman"/>
          <w:sz w:val="24"/>
          <w:szCs w:val="24"/>
          <w:lang w:eastAsia="bg-BG"/>
        </w:rPr>
      </w:pPr>
    </w:p>
    <w:p w14:paraId="29A4CC25" w14:textId="77777777" w:rsidR="00F67D59" w:rsidRPr="00053B27" w:rsidRDefault="00F67D59" w:rsidP="005F0563">
      <w:pPr>
        <w:spacing w:after="0" w:line="240" w:lineRule="auto"/>
        <w:jc w:val="both"/>
        <w:rPr>
          <w:rFonts w:ascii="Times New Roman" w:eastAsia="Times New Roman" w:hAnsi="Times New Roman" w:cs="Times New Roman"/>
          <w:sz w:val="24"/>
          <w:szCs w:val="24"/>
          <w:lang w:eastAsia="bg-BG"/>
        </w:rPr>
      </w:pPr>
    </w:p>
    <w:p w14:paraId="22ECB5C8" w14:textId="7AD2E05E" w:rsidR="00053B27" w:rsidRPr="00053B27" w:rsidRDefault="00053B27" w:rsidP="001365A2">
      <w:pPr>
        <w:spacing w:after="120" w:line="240" w:lineRule="auto"/>
        <w:jc w:val="both"/>
        <w:rPr>
          <w:rFonts w:ascii="Times New Roman" w:eastAsia="Times New Roman" w:hAnsi="Times New Roman" w:cs="Times New Roman"/>
          <w:sz w:val="24"/>
          <w:szCs w:val="24"/>
          <w:lang w:eastAsia="bg-BG"/>
        </w:rPr>
      </w:pPr>
      <w:r w:rsidRPr="00053B27">
        <w:rPr>
          <w:rFonts w:ascii="Times New Roman" w:eastAsia="Times New Roman" w:hAnsi="Times New Roman" w:cs="Times New Roman"/>
          <w:sz w:val="24"/>
          <w:szCs w:val="24"/>
          <w:lang w:eastAsia="bg-BG"/>
        </w:rPr>
        <w:t>Въпреки отчетеното намаление в цените на квотите за емисии в периода март-май  2020 г., себестойността на произвежданата енергия на „ТЕЦ Марица изток 2“ЕАД остава значително по-висока от средните цени на базовата енергия за същия период</w:t>
      </w:r>
      <w:r w:rsidR="00613D5D" w:rsidRPr="00610788">
        <w:rPr>
          <w:rFonts w:ascii="Times New Roman" w:eastAsia="Times New Roman" w:hAnsi="Times New Roman" w:cs="Times New Roman"/>
          <w:sz w:val="24"/>
          <w:szCs w:val="24"/>
          <w:lang w:eastAsia="bg-BG"/>
        </w:rPr>
        <w:t>…</w:t>
      </w:r>
      <w:r w:rsidR="00613D5D">
        <w:rPr>
          <w:rFonts w:ascii="Times New Roman" w:eastAsia="Times New Roman" w:hAnsi="Times New Roman" w:cs="Times New Roman"/>
          <w:sz w:val="24"/>
          <w:szCs w:val="24"/>
          <w:lang w:eastAsia="bg-BG"/>
        </w:rPr>
        <w:t>………………………………………………………………………………………..</w:t>
      </w:r>
      <w:r w:rsidRPr="00053B27">
        <w:rPr>
          <w:rFonts w:ascii="Times New Roman" w:eastAsia="Times New Roman" w:hAnsi="Times New Roman" w:cs="Times New Roman"/>
          <w:sz w:val="24"/>
          <w:szCs w:val="24"/>
          <w:lang w:eastAsia="bg-BG"/>
        </w:rPr>
        <w:t xml:space="preserve"> </w:t>
      </w:r>
    </w:p>
    <w:p w14:paraId="0D18E387" w14:textId="77777777" w:rsidR="00053B27" w:rsidRPr="00053B27" w:rsidRDefault="00053B27" w:rsidP="001365A2">
      <w:pPr>
        <w:spacing w:after="120" w:line="240" w:lineRule="auto"/>
        <w:jc w:val="both"/>
        <w:rPr>
          <w:rFonts w:ascii="Times New Roman" w:eastAsia="Times New Roman" w:hAnsi="Times New Roman" w:cs="Times New Roman"/>
          <w:sz w:val="24"/>
          <w:szCs w:val="24"/>
          <w:lang w:eastAsia="bg-BG"/>
        </w:rPr>
      </w:pPr>
      <w:r w:rsidRPr="00053B27">
        <w:rPr>
          <w:rFonts w:ascii="Times New Roman" w:eastAsia="Times New Roman" w:hAnsi="Times New Roman" w:cs="Times New Roman"/>
          <w:sz w:val="24"/>
          <w:szCs w:val="24"/>
          <w:lang w:eastAsia="bg-BG"/>
        </w:rPr>
        <w:lastRenderedPageBreak/>
        <w:t>Основните фактори, които оказват влияние върху ценовите нива на платформата „ден напред“ са свързани със сезонното потребление на електрическа енергия. Традиционно в есенно – зимния период цените на електроенергията за този вид краткосрочни продукти е значително по-висок, тъй като недостигът на електроенергия е по-голям. Месеците юли и август също се характеризират с повишено потребление, свързано с допълнителните нужди от охлаждане в горещите летни месеци. През 2020 г. влияние върху борсовите цени в сегмента „ден напред“ оказа и кризата с COVID-19, видно от графиката по-горе.</w:t>
      </w:r>
    </w:p>
    <w:p w14:paraId="0EDD6EF7" w14:textId="0AFA72FA" w:rsidR="00053B27" w:rsidRPr="00053B27" w:rsidRDefault="00053B27" w:rsidP="001365A2">
      <w:pPr>
        <w:spacing w:after="120" w:line="240" w:lineRule="auto"/>
        <w:jc w:val="both"/>
        <w:rPr>
          <w:rFonts w:ascii="Times New Roman" w:eastAsia="Times New Roman" w:hAnsi="Times New Roman" w:cs="Times New Roman"/>
          <w:sz w:val="24"/>
          <w:szCs w:val="24"/>
          <w:lang w:eastAsia="bg-BG"/>
        </w:rPr>
      </w:pPr>
      <w:r w:rsidRPr="00053B27">
        <w:rPr>
          <w:rFonts w:ascii="Times New Roman" w:eastAsia="Times New Roman" w:hAnsi="Times New Roman" w:cs="Times New Roman"/>
          <w:sz w:val="24"/>
          <w:szCs w:val="24"/>
          <w:lang w:eastAsia="bg-BG"/>
        </w:rPr>
        <w:t xml:space="preserve">Приходите от продажби на „ТЕЦ Марица изток 2“ на платформата „ден напред“ формират </w:t>
      </w:r>
      <w:r w:rsidR="00613D5D">
        <w:rPr>
          <w:rFonts w:ascii="Times New Roman" w:eastAsia="Times New Roman" w:hAnsi="Times New Roman" w:cs="Times New Roman"/>
          <w:sz w:val="24"/>
          <w:szCs w:val="24"/>
          <w:lang w:eastAsia="bg-BG"/>
        </w:rPr>
        <w:t>.................................</w:t>
      </w:r>
      <w:r w:rsidRPr="00053B27">
        <w:rPr>
          <w:rFonts w:ascii="Times New Roman" w:eastAsia="Times New Roman" w:hAnsi="Times New Roman" w:cs="Times New Roman"/>
          <w:sz w:val="24"/>
          <w:szCs w:val="24"/>
          <w:lang w:eastAsia="bg-BG"/>
        </w:rPr>
        <w:t xml:space="preserve"> от общите приходи от продажби през 2020 г. </w:t>
      </w:r>
      <w:r w:rsidR="00613D5D" w:rsidRPr="00610788">
        <w:rPr>
          <w:rFonts w:ascii="Times New Roman" w:eastAsia="Times New Roman" w:hAnsi="Times New Roman" w:cs="Times New Roman"/>
          <w:sz w:val="24"/>
          <w:szCs w:val="24"/>
          <w:lang w:eastAsia="bg-BG"/>
        </w:rPr>
        <w:t>………………………………………………..</w:t>
      </w:r>
      <w:r w:rsidRPr="00610788">
        <w:rPr>
          <w:rFonts w:ascii="Times New Roman" w:eastAsia="Times New Roman" w:hAnsi="Times New Roman" w:cs="Times New Roman"/>
          <w:sz w:val="24"/>
          <w:szCs w:val="24"/>
          <w:lang w:eastAsia="bg-BG"/>
        </w:rPr>
        <w:t>.</w:t>
      </w:r>
      <w:r w:rsidRPr="00053B27">
        <w:rPr>
          <w:rFonts w:ascii="Times New Roman" w:eastAsia="Times New Roman" w:hAnsi="Times New Roman" w:cs="Times New Roman"/>
          <w:sz w:val="24"/>
          <w:szCs w:val="24"/>
          <w:lang w:eastAsia="bg-BG"/>
        </w:rPr>
        <w:t xml:space="preserve"> </w:t>
      </w:r>
    </w:p>
    <w:p w14:paraId="323875F8" w14:textId="77777777" w:rsidR="00F67D59" w:rsidRDefault="00F67D59" w:rsidP="001365A2">
      <w:pPr>
        <w:spacing w:after="120" w:line="240" w:lineRule="auto"/>
        <w:jc w:val="both"/>
        <w:rPr>
          <w:rFonts w:ascii="Times New Roman" w:eastAsia="Times New Roman" w:hAnsi="Times New Roman" w:cs="Times New Roman"/>
          <w:b/>
          <w:sz w:val="24"/>
          <w:szCs w:val="24"/>
          <w:lang w:eastAsia="bg-BG"/>
        </w:rPr>
      </w:pPr>
    </w:p>
    <w:p w14:paraId="137F9187" w14:textId="7B6590F4" w:rsidR="00053B27" w:rsidRPr="00053B27" w:rsidRDefault="00053B27" w:rsidP="001365A2">
      <w:pPr>
        <w:spacing w:after="120" w:line="240" w:lineRule="auto"/>
        <w:jc w:val="both"/>
        <w:rPr>
          <w:rFonts w:ascii="Times New Roman" w:eastAsia="Times New Roman" w:hAnsi="Times New Roman" w:cs="Times New Roman"/>
          <w:b/>
          <w:sz w:val="24"/>
          <w:szCs w:val="24"/>
          <w:lang w:eastAsia="bg-BG"/>
        </w:rPr>
      </w:pPr>
      <w:r w:rsidRPr="00053B27">
        <w:rPr>
          <w:rFonts w:ascii="Times New Roman" w:eastAsia="Times New Roman" w:hAnsi="Times New Roman" w:cs="Times New Roman"/>
          <w:b/>
          <w:sz w:val="24"/>
          <w:szCs w:val="24"/>
          <w:lang w:eastAsia="bg-BG"/>
        </w:rPr>
        <w:t xml:space="preserve">В обобщение, приходите и продажбите на централата зависят и ще зависят все в по-голяма степен от </w:t>
      </w:r>
      <w:r w:rsidR="00B919F6">
        <w:rPr>
          <w:rFonts w:ascii="Times New Roman" w:eastAsia="Times New Roman" w:hAnsi="Times New Roman" w:cs="Times New Roman"/>
          <w:b/>
          <w:sz w:val="24"/>
          <w:szCs w:val="24"/>
          <w:lang w:eastAsia="bg-BG"/>
        </w:rPr>
        <w:t>цените</w:t>
      </w:r>
      <w:r w:rsidR="00B919F6" w:rsidRPr="00053B27">
        <w:rPr>
          <w:rFonts w:ascii="Times New Roman" w:eastAsia="Times New Roman" w:hAnsi="Times New Roman" w:cs="Times New Roman"/>
          <w:b/>
          <w:sz w:val="24"/>
          <w:szCs w:val="24"/>
          <w:lang w:eastAsia="bg-BG"/>
        </w:rPr>
        <w:t xml:space="preserve"> </w:t>
      </w:r>
      <w:r w:rsidRPr="00053B27">
        <w:rPr>
          <w:rFonts w:ascii="Times New Roman" w:eastAsia="Times New Roman" w:hAnsi="Times New Roman" w:cs="Times New Roman"/>
          <w:b/>
          <w:sz w:val="24"/>
          <w:szCs w:val="24"/>
          <w:lang w:eastAsia="bg-BG"/>
        </w:rPr>
        <w:t>на свободния (борсовия) пазар, където влияят много фактори като конкуренция, сезонност, климатични фактори, и други фактори, които до голяма степен са непредвидими и централата не може да влияе върху тях, а финансовата стабилност на „ТЕЦ Марица изток“ 2 ЕАД е от ключово значение за гарантиране сигурността на енергийните доставки в България. Ето защо, когато говорим за енергийна сигурност и гарантиране на снабдяването с електрическа енергия, не можем да се позоваваме единствено на статистически данни за възникнали тежки аварии и предприети действия за тяхното отстраняване, съгласно текстовете предвидени в Правилата за управление на електроенергийната система (ПУЕЕС). Грижата за енергийната сигурност, като стратегическа инфраструктура е непрекъснат процес и оценката за нейния успех е наличието на непрекъснати енергийни доставки за всички потребители на територията на Р България.</w:t>
      </w:r>
    </w:p>
    <w:p w14:paraId="0536B3C7" w14:textId="77777777" w:rsidR="00F048EE" w:rsidRDefault="00643631" w:rsidP="001365A2">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Допълнителни </w:t>
      </w:r>
      <w:r w:rsidR="00F048EE" w:rsidRPr="00F048EE">
        <w:rPr>
          <w:rFonts w:ascii="Times New Roman" w:eastAsia="Times New Roman" w:hAnsi="Times New Roman" w:cs="Times New Roman"/>
          <w:b/>
          <w:sz w:val="24"/>
          <w:szCs w:val="24"/>
          <w:lang w:eastAsia="bg-BG"/>
        </w:rPr>
        <w:t>задължения при производст</w:t>
      </w:r>
      <w:r w:rsidR="00F006F5">
        <w:rPr>
          <w:rFonts w:ascii="Times New Roman" w:eastAsia="Times New Roman" w:hAnsi="Times New Roman" w:cs="Times New Roman"/>
          <w:b/>
          <w:sz w:val="24"/>
          <w:szCs w:val="24"/>
          <w:lang w:eastAsia="bg-BG"/>
        </w:rPr>
        <w:t>во на електрическа енергия</w:t>
      </w:r>
    </w:p>
    <w:p w14:paraId="3B126C5B" w14:textId="77777777" w:rsidR="00F67D59" w:rsidRDefault="00F67D59" w:rsidP="001365A2">
      <w:pPr>
        <w:spacing w:after="120" w:line="240" w:lineRule="auto"/>
        <w:jc w:val="both"/>
        <w:rPr>
          <w:rFonts w:ascii="Times New Roman" w:eastAsia="Times New Roman" w:hAnsi="Times New Roman" w:cs="Times New Roman"/>
          <w:b/>
          <w:sz w:val="24"/>
          <w:szCs w:val="24"/>
          <w:lang w:eastAsia="bg-BG"/>
        </w:rPr>
      </w:pPr>
    </w:p>
    <w:p w14:paraId="503D95B2" w14:textId="50976C2B" w:rsidR="00F006F5" w:rsidRDefault="00F006F5" w:rsidP="001365A2">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В групата на непризнатите разходи за регулаторни цели, със ЗЕ са въведени два вида плащания за производителите на електрическа енергия</w:t>
      </w:r>
      <w:r w:rsidR="0031208D">
        <w:rPr>
          <w:rFonts w:ascii="Times New Roman" w:eastAsia="Times New Roman" w:hAnsi="Times New Roman" w:cs="Times New Roman"/>
          <w:b/>
          <w:sz w:val="24"/>
          <w:szCs w:val="24"/>
          <w:lang w:eastAsia="bg-BG"/>
        </w:rPr>
        <w:t>, които по същество са необходимо-присъщи</w:t>
      </w:r>
      <w:r>
        <w:rPr>
          <w:rFonts w:ascii="Times New Roman" w:eastAsia="Times New Roman" w:hAnsi="Times New Roman" w:cs="Times New Roman"/>
          <w:b/>
          <w:sz w:val="24"/>
          <w:szCs w:val="24"/>
          <w:lang w:eastAsia="bg-BG"/>
        </w:rPr>
        <w:t>:</w:t>
      </w:r>
    </w:p>
    <w:p w14:paraId="78E5EF98" w14:textId="0669DCF1" w:rsidR="00F048EE" w:rsidRPr="00F006F5" w:rsidRDefault="00E1718B" w:rsidP="001365A2">
      <w:pPr>
        <w:pStyle w:val="ListParagraph"/>
        <w:numPr>
          <w:ilvl w:val="0"/>
          <w:numId w:val="13"/>
        </w:numPr>
        <w:spacing w:after="120" w:line="240" w:lineRule="auto"/>
        <w:jc w:val="both"/>
        <w:rPr>
          <w:rFonts w:ascii="Times New Roman" w:eastAsia="Times New Roman" w:hAnsi="Times New Roman" w:cs="Times New Roman"/>
          <w:sz w:val="24"/>
          <w:szCs w:val="24"/>
          <w:lang w:eastAsia="bg-BG"/>
        </w:rPr>
      </w:pPr>
      <w:r w:rsidRPr="00F006F5">
        <w:rPr>
          <w:rFonts w:ascii="Times New Roman" w:eastAsia="Times New Roman" w:hAnsi="Times New Roman" w:cs="Times New Roman"/>
          <w:b/>
          <w:sz w:val="24"/>
          <w:szCs w:val="24"/>
          <w:lang w:eastAsia="bg-BG"/>
        </w:rPr>
        <w:t>Вноски във ФСЕЕС</w:t>
      </w:r>
      <w:r w:rsidRPr="00F006F5">
        <w:rPr>
          <w:rFonts w:ascii="Times New Roman" w:eastAsia="Times New Roman" w:hAnsi="Times New Roman" w:cs="Times New Roman"/>
          <w:sz w:val="24"/>
          <w:szCs w:val="24"/>
          <w:lang w:eastAsia="bg-BG"/>
        </w:rPr>
        <w:t xml:space="preserve"> – в размер на 5% от процента от ежемесечните си приходи от продажба на електрическа енергия в специално създадения за целта Фонд „Сигурност на електроенергийната система"</w:t>
      </w:r>
      <w:r w:rsidR="00F006F5">
        <w:rPr>
          <w:rFonts w:ascii="Times New Roman" w:eastAsia="Times New Roman" w:hAnsi="Times New Roman" w:cs="Times New Roman"/>
          <w:sz w:val="24"/>
          <w:szCs w:val="24"/>
          <w:lang w:eastAsia="bg-BG"/>
        </w:rPr>
        <w:t xml:space="preserve">. </w:t>
      </w:r>
      <w:r w:rsidR="00F30A94">
        <w:rPr>
          <w:rFonts w:ascii="Times New Roman" w:eastAsia="Times New Roman" w:hAnsi="Times New Roman" w:cs="Times New Roman"/>
          <w:sz w:val="24"/>
          <w:szCs w:val="24"/>
          <w:lang w:eastAsia="bg-BG"/>
        </w:rPr>
        <w:t xml:space="preserve">За новия регулаторен период сумата възлиза на 56 075 </w:t>
      </w:r>
      <w:proofErr w:type="spellStart"/>
      <w:r w:rsidR="00F30A94">
        <w:rPr>
          <w:rFonts w:ascii="Times New Roman" w:eastAsia="Times New Roman" w:hAnsi="Times New Roman" w:cs="Times New Roman"/>
          <w:sz w:val="24"/>
          <w:szCs w:val="24"/>
          <w:lang w:eastAsia="bg-BG"/>
        </w:rPr>
        <w:t>хил.лв.</w:t>
      </w:r>
      <w:r w:rsidR="00F006F5">
        <w:rPr>
          <w:rFonts w:ascii="Times New Roman" w:eastAsia="Times New Roman" w:hAnsi="Times New Roman" w:cs="Times New Roman"/>
          <w:sz w:val="24"/>
          <w:szCs w:val="24"/>
          <w:lang w:eastAsia="bg-BG"/>
        </w:rPr>
        <w:t>Те</w:t>
      </w:r>
      <w:proofErr w:type="spellEnd"/>
      <w:r w:rsidR="00F006F5">
        <w:rPr>
          <w:rFonts w:ascii="Times New Roman" w:eastAsia="Times New Roman" w:hAnsi="Times New Roman" w:cs="Times New Roman"/>
          <w:sz w:val="24"/>
          <w:szCs w:val="24"/>
          <w:lang w:eastAsia="bg-BG"/>
        </w:rPr>
        <w:t xml:space="preserve"> </w:t>
      </w:r>
      <w:r w:rsidRPr="00F006F5">
        <w:rPr>
          <w:rFonts w:ascii="Times New Roman" w:eastAsia="Times New Roman" w:hAnsi="Times New Roman" w:cs="Times New Roman"/>
          <w:sz w:val="24"/>
          <w:szCs w:val="24"/>
          <w:lang w:eastAsia="bg-BG"/>
        </w:rPr>
        <w:t>се изп</w:t>
      </w:r>
      <w:r w:rsidR="00F006F5">
        <w:rPr>
          <w:rFonts w:ascii="Times New Roman" w:eastAsia="Times New Roman" w:hAnsi="Times New Roman" w:cs="Times New Roman"/>
          <w:sz w:val="24"/>
          <w:szCs w:val="24"/>
          <w:lang w:eastAsia="bg-BG"/>
        </w:rPr>
        <w:t>олзват за компенсиране на разходи по чл. 34 и 35 от ЗЕ – „невъзстановяеми“ разходи по смисъла на ЗЕ и разходи от наложени задължения към обществото.</w:t>
      </w:r>
    </w:p>
    <w:p w14:paraId="28258285" w14:textId="17A0BFC1" w:rsidR="004521F2" w:rsidRPr="00E1718B" w:rsidRDefault="004521F2" w:rsidP="001365A2">
      <w:pPr>
        <w:pStyle w:val="ListParagraph"/>
        <w:numPr>
          <w:ilvl w:val="0"/>
          <w:numId w:val="13"/>
        </w:numPr>
        <w:spacing w:after="120" w:line="240" w:lineRule="auto"/>
        <w:jc w:val="both"/>
        <w:rPr>
          <w:rFonts w:ascii="Times New Roman" w:eastAsia="Times New Roman" w:hAnsi="Times New Roman" w:cs="Times New Roman"/>
          <w:sz w:val="24"/>
          <w:szCs w:val="24"/>
          <w:lang w:eastAsia="bg-BG"/>
        </w:rPr>
      </w:pPr>
      <w:r w:rsidRPr="00F006F5">
        <w:rPr>
          <w:rFonts w:ascii="Times New Roman" w:eastAsia="Times New Roman" w:hAnsi="Times New Roman" w:cs="Times New Roman"/>
          <w:b/>
          <w:sz w:val="24"/>
          <w:szCs w:val="24"/>
          <w:lang w:eastAsia="bg-BG"/>
        </w:rPr>
        <w:t>„Цена за достъп до електропреносната мрежа за производители“</w:t>
      </w:r>
      <w:r w:rsidRPr="00F006F5">
        <w:rPr>
          <w:rFonts w:ascii="Times New Roman" w:eastAsia="Times New Roman" w:hAnsi="Times New Roman" w:cs="Times New Roman"/>
          <w:sz w:val="24"/>
          <w:szCs w:val="24"/>
          <w:lang w:eastAsia="bg-BG"/>
        </w:rPr>
        <w:t xml:space="preserve"> – Въведена</w:t>
      </w:r>
      <w:r w:rsidR="00F006F5">
        <w:rPr>
          <w:rFonts w:ascii="Times New Roman" w:eastAsia="Times New Roman" w:hAnsi="Times New Roman" w:cs="Times New Roman"/>
          <w:sz w:val="24"/>
          <w:szCs w:val="24"/>
          <w:lang w:eastAsia="bg-BG"/>
        </w:rPr>
        <w:t xml:space="preserve"> за първи път с решение на КЕВР през 2019 г. и подлежаща на ежегодна актуализация</w:t>
      </w:r>
      <w:r w:rsidR="0079117B">
        <w:rPr>
          <w:rFonts w:ascii="Times New Roman" w:eastAsia="Times New Roman" w:hAnsi="Times New Roman" w:cs="Times New Roman"/>
          <w:sz w:val="24"/>
          <w:szCs w:val="24"/>
          <w:lang w:eastAsia="bg-BG"/>
        </w:rPr>
        <w:t xml:space="preserve">. Разходите, свързани с нейното заплащане остават изцяло за сметка на „ТЕЦ Марица изток 2“ЕАД </w:t>
      </w:r>
      <w:r w:rsidR="00610D9D">
        <w:rPr>
          <w:rFonts w:ascii="Times New Roman" w:eastAsia="Times New Roman" w:hAnsi="Times New Roman" w:cs="Times New Roman"/>
          <w:sz w:val="24"/>
          <w:szCs w:val="24"/>
          <w:lang w:eastAsia="bg-BG"/>
        </w:rPr>
        <w:t xml:space="preserve">и са в </w:t>
      </w:r>
      <w:proofErr w:type="spellStart"/>
      <w:r w:rsidR="00610D9D">
        <w:rPr>
          <w:rFonts w:ascii="Times New Roman" w:eastAsia="Times New Roman" w:hAnsi="Times New Roman" w:cs="Times New Roman"/>
          <w:sz w:val="24"/>
          <w:szCs w:val="24"/>
          <w:lang w:eastAsia="bg-BG"/>
        </w:rPr>
        <w:t>раззмер</w:t>
      </w:r>
      <w:proofErr w:type="spellEnd"/>
      <w:r w:rsidR="00610D9D">
        <w:rPr>
          <w:rFonts w:ascii="Times New Roman" w:eastAsia="Times New Roman" w:hAnsi="Times New Roman" w:cs="Times New Roman"/>
          <w:sz w:val="24"/>
          <w:szCs w:val="24"/>
          <w:lang w:eastAsia="bg-BG"/>
        </w:rPr>
        <w:t xml:space="preserve"> на 14 694 </w:t>
      </w:r>
      <w:proofErr w:type="spellStart"/>
      <w:r w:rsidR="00610D9D">
        <w:rPr>
          <w:rFonts w:ascii="Times New Roman" w:eastAsia="Times New Roman" w:hAnsi="Times New Roman" w:cs="Times New Roman"/>
          <w:sz w:val="24"/>
          <w:szCs w:val="24"/>
          <w:lang w:eastAsia="bg-BG"/>
        </w:rPr>
        <w:t>хил.лв</w:t>
      </w:r>
      <w:proofErr w:type="spellEnd"/>
      <w:r w:rsidR="00610D9D">
        <w:rPr>
          <w:rFonts w:ascii="Times New Roman" w:eastAsia="Times New Roman" w:hAnsi="Times New Roman" w:cs="Times New Roman"/>
          <w:sz w:val="24"/>
          <w:szCs w:val="24"/>
          <w:lang w:eastAsia="bg-BG"/>
        </w:rPr>
        <w:t xml:space="preserve">. за новия регулаторен период </w:t>
      </w:r>
      <w:r w:rsidR="0079117B">
        <w:rPr>
          <w:rFonts w:ascii="Times New Roman" w:eastAsia="Times New Roman" w:hAnsi="Times New Roman" w:cs="Times New Roman"/>
          <w:sz w:val="24"/>
          <w:szCs w:val="24"/>
          <w:lang w:eastAsia="bg-BG"/>
        </w:rPr>
        <w:t>и увеличават допълнително себестойността на произвежданата енергия.</w:t>
      </w:r>
    </w:p>
    <w:p w14:paraId="0732948E" w14:textId="5A56E177" w:rsidR="00830DEF" w:rsidRPr="004F060A" w:rsidRDefault="004F060A" w:rsidP="001365A2">
      <w:pPr>
        <w:spacing w:after="120" w:line="240" w:lineRule="auto"/>
        <w:jc w:val="both"/>
        <w:rPr>
          <w:rFonts w:ascii="Times New Roman" w:eastAsia="Times New Roman" w:hAnsi="Times New Roman" w:cs="Times New Roman"/>
          <w:b/>
          <w:sz w:val="24"/>
          <w:szCs w:val="24"/>
          <w:lang w:eastAsia="bg-BG"/>
        </w:rPr>
      </w:pPr>
      <w:r w:rsidRPr="001365A2">
        <w:rPr>
          <w:rFonts w:ascii="Times New Roman" w:eastAsia="Times New Roman" w:hAnsi="Times New Roman" w:cs="Times New Roman"/>
          <w:b/>
          <w:sz w:val="24"/>
          <w:szCs w:val="24"/>
          <w:lang w:eastAsia="bg-BG"/>
        </w:rPr>
        <w:t>3.</w:t>
      </w:r>
      <w:r w:rsidR="00DF661A">
        <w:rPr>
          <w:rFonts w:ascii="Times New Roman" w:eastAsia="Times New Roman" w:hAnsi="Times New Roman" w:cs="Times New Roman"/>
          <w:b/>
          <w:sz w:val="24"/>
          <w:szCs w:val="24"/>
          <w:lang w:eastAsia="bg-BG"/>
        </w:rPr>
        <w:t xml:space="preserve"> </w:t>
      </w:r>
      <w:r w:rsidRPr="001365A2">
        <w:rPr>
          <w:rFonts w:ascii="Times New Roman" w:eastAsia="Times New Roman" w:hAnsi="Times New Roman" w:cs="Times New Roman"/>
          <w:b/>
          <w:sz w:val="24"/>
          <w:szCs w:val="24"/>
          <w:lang w:eastAsia="bg-BG"/>
        </w:rPr>
        <w:t>О</w:t>
      </w:r>
      <w:r w:rsidR="00830DEF" w:rsidRPr="001365A2">
        <w:rPr>
          <w:rFonts w:ascii="Times New Roman" w:eastAsia="Times New Roman" w:hAnsi="Times New Roman" w:cs="Times New Roman"/>
          <w:b/>
          <w:sz w:val="24"/>
          <w:szCs w:val="24"/>
          <w:lang w:eastAsia="bg-BG"/>
        </w:rPr>
        <w:t>пределяне на променливи разходи, условно – постоянни разходи,</w:t>
      </w:r>
      <w:r w:rsidR="00830DEF" w:rsidRPr="004F060A">
        <w:rPr>
          <w:rFonts w:ascii="Times New Roman" w:eastAsia="Times New Roman" w:hAnsi="Times New Roman" w:cs="Times New Roman"/>
          <w:sz w:val="24"/>
          <w:szCs w:val="24"/>
          <w:lang w:eastAsia="bg-BG"/>
        </w:rPr>
        <w:t xml:space="preserve"> </w:t>
      </w:r>
      <w:r w:rsidR="00830DEF" w:rsidRPr="004F060A">
        <w:rPr>
          <w:rFonts w:ascii="Times New Roman" w:eastAsia="Times New Roman" w:hAnsi="Times New Roman" w:cs="Times New Roman"/>
          <w:b/>
          <w:sz w:val="24"/>
          <w:szCs w:val="24"/>
          <w:lang w:eastAsia="bg-BG"/>
        </w:rPr>
        <w:t>възвръщаемост и необходими годишни приходи за новия регулаторен период 01.07.202</w:t>
      </w:r>
      <w:r>
        <w:rPr>
          <w:rFonts w:ascii="Times New Roman" w:eastAsia="Times New Roman" w:hAnsi="Times New Roman" w:cs="Times New Roman"/>
          <w:b/>
          <w:sz w:val="24"/>
          <w:szCs w:val="24"/>
          <w:lang w:eastAsia="bg-BG"/>
        </w:rPr>
        <w:t>1 – 30.06.2022</w:t>
      </w:r>
      <w:r w:rsidR="00830DEF" w:rsidRPr="004F060A">
        <w:rPr>
          <w:rFonts w:ascii="Times New Roman" w:eastAsia="Times New Roman" w:hAnsi="Times New Roman" w:cs="Times New Roman"/>
          <w:b/>
          <w:sz w:val="24"/>
          <w:szCs w:val="24"/>
          <w:lang w:eastAsia="bg-BG"/>
        </w:rPr>
        <w:t xml:space="preserve"> г.</w:t>
      </w:r>
    </w:p>
    <w:p w14:paraId="3A79AF07" w14:textId="77777777" w:rsidR="00830DEF" w:rsidRPr="00830DEF" w:rsidRDefault="00830DEF" w:rsidP="001365A2">
      <w:pPr>
        <w:pStyle w:val="ListParagraph"/>
        <w:spacing w:after="120" w:line="240" w:lineRule="auto"/>
        <w:jc w:val="both"/>
        <w:rPr>
          <w:rFonts w:ascii="Times New Roman" w:eastAsia="Times New Roman" w:hAnsi="Times New Roman" w:cs="Times New Roman"/>
          <w:b/>
          <w:sz w:val="24"/>
          <w:szCs w:val="24"/>
          <w:lang w:eastAsia="bg-BG"/>
        </w:rPr>
      </w:pPr>
    </w:p>
    <w:p w14:paraId="693C7628" w14:textId="77777777" w:rsidR="00830DEF" w:rsidRPr="00830DEF" w:rsidRDefault="00830DEF" w:rsidP="001365A2">
      <w:pPr>
        <w:pStyle w:val="ListParagraph"/>
        <w:numPr>
          <w:ilvl w:val="1"/>
          <w:numId w:val="3"/>
        </w:numPr>
        <w:spacing w:after="120" w:line="240" w:lineRule="auto"/>
        <w:jc w:val="both"/>
        <w:rPr>
          <w:rFonts w:ascii="Times New Roman" w:eastAsia="Times New Roman" w:hAnsi="Times New Roman" w:cs="Times New Roman"/>
          <w:b/>
          <w:sz w:val="24"/>
          <w:szCs w:val="24"/>
          <w:lang w:eastAsia="bg-BG"/>
        </w:rPr>
      </w:pPr>
      <w:r w:rsidRPr="00830DEF">
        <w:rPr>
          <w:rFonts w:ascii="Times New Roman" w:eastAsia="Times New Roman" w:hAnsi="Times New Roman" w:cs="Times New Roman"/>
          <w:b/>
          <w:sz w:val="24"/>
          <w:szCs w:val="24"/>
          <w:lang w:eastAsia="bg-BG"/>
        </w:rPr>
        <w:t>Обобщени технико-икономически показатели при производството на електрическа енергия</w:t>
      </w:r>
    </w:p>
    <w:p w14:paraId="10376B86" w14:textId="77777777" w:rsidR="00830DEF" w:rsidRDefault="00830DEF" w:rsidP="001365A2">
      <w:pPr>
        <w:spacing w:after="120" w:line="240" w:lineRule="auto"/>
        <w:jc w:val="both"/>
        <w:rPr>
          <w:rFonts w:ascii="Times New Roman" w:eastAsia="Times New Roman" w:hAnsi="Times New Roman" w:cs="Times New Roman"/>
          <w:sz w:val="24"/>
          <w:szCs w:val="24"/>
          <w:lang w:eastAsia="bg-BG"/>
        </w:rPr>
      </w:pPr>
      <w:r w:rsidRPr="00830DEF">
        <w:rPr>
          <w:rFonts w:ascii="Times New Roman" w:eastAsia="Times New Roman" w:hAnsi="Times New Roman" w:cs="Times New Roman"/>
          <w:sz w:val="24"/>
          <w:szCs w:val="24"/>
          <w:lang w:eastAsia="bg-BG"/>
        </w:rPr>
        <w:t>Съгласно изчисленията в приложените към заявлението справки с № от 1-5, утвърдени от комисията, необходимите променливи разходи, условно – постоянни разходи, възвръщаемост и необходими годишни приходи за но</w:t>
      </w:r>
      <w:r>
        <w:rPr>
          <w:rFonts w:ascii="Times New Roman" w:eastAsia="Times New Roman" w:hAnsi="Times New Roman" w:cs="Times New Roman"/>
          <w:sz w:val="24"/>
          <w:szCs w:val="24"/>
          <w:lang w:eastAsia="bg-BG"/>
        </w:rPr>
        <w:t>вия регулаторен период 01.07.202</w:t>
      </w:r>
      <w:r w:rsidR="00D615A6">
        <w:rPr>
          <w:rFonts w:ascii="Times New Roman" w:eastAsia="Times New Roman" w:hAnsi="Times New Roman" w:cs="Times New Roman"/>
          <w:sz w:val="24"/>
          <w:szCs w:val="24"/>
          <w:lang w:eastAsia="bg-BG"/>
        </w:rPr>
        <w:t>1</w:t>
      </w:r>
      <w:r w:rsidRPr="00830DEF">
        <w:rPr>
          <w:rFonts w:ascii="Times New Roman" w:eastAsia="Times New Roman" w:hAnsi="Times New Roman" w:cs="Times New Roman"/>
          <w:sz w:val="24"/>
          <w:szCs w:val="24"/>
          <w:lang w:eastAsia="bg-BG"/>
        </w:rPr>
        <w:t xml:space="preserve"> – 30.06.202</w:t>
      </w:r>
      <w:r w:rsidR="00D615A6">
        <w:rPr>
          <w:rFonts w:ascii="Times New Roman" w:eastAsia="Times New Roman" w:hAnsi="Times New Roman" w:cs="Times New Roman"/>
          <w:sz w:val="24"/>
          <w:szCs w:val="24"/>
          <w:lang w:eastAsia="bg-BG"/>
        </w:rPr>
        <w:t>2</w:t>
      </w:r>
      <w:r w:rsidRPr="00830DEF">
        <w:rPr>
          <w:rFonts w:ascii="Times New Roman" w:eastAsia="Times New Roman" w:hAnsi="Times New Roman" w:cs="Times New Roman"/>
          <w:sz w:val="24"/>
          <w:szCs w:val="24"/>
          <w:lang w:eastAsia="bg-BG"/>
        </w:rPr>
        <w:t xml:space="preserve"> г. са както следва:</w:t>
      </w:r>
    </w:p>
    <w:p w14:paraId="2C17045C" w14:textId="77777777" w:rsidR="00E41EF9" w:rsidRDefault="00E41EF9" w:rsidP="001365A2">
      <w:pPr>
        <w:spacing w:after="120" w:line="240" w:lineRule="auto"/>
        <w:jc w:val="both"/>
        <w:rPr>
          <w:rFonts w:ascii="Times New Roman" w:eastAsia="Times New Roman" w:hAnsi="Times New Roman" w:cs="Times New Roman"/>
          <w:sz w:val="24"/>
          <w:szCs w:val="24"/>
          <w:lang w:eastAsia="bg-BG"/>
        </w:rPr>
      </w:pPr>
    </w:p>
    <w:p w14:paraId="0A0EFAB8" w14:textId="77777777" w:rsidR="00E41EF9" w:rsidRDefault="00E41EF9" w:rsidP="001365A2">
      <w:pPr>
        <w:spacing w:after="120" w:line="240" w:lineRule="auto"/>
        <w:jc w:val="both"/>
        <w:rPr>
          <w:rFonts w:ascii="Times New Roman" w:eastAsia="Times New Roman" w:hAnsi="Times New Roman" w:cs="Times New Roman"/>
          <w:sz w:val="24"/>
          <w:szCs w:val="24"/>
          <w:lang w:eastAsia="bg-BG"/>
        </w:rPr>
      </w:pPr>
    </w:p>
    <w:p w14:paraId="4FC5A8D7" w14:textId="6138019B" w:rsidR="00D615A6" w:rsidRDefault="00695285" w:rsidP="001365A2">
      <w:pPr>
        <w:tabs>
          <w:tab w:val="left" w:pos="6101"/>
        </w:tabs>
        <w:spacing w:after="0" w:line="240" w:lineRule="auto"/>
        <w:jc w:val="both"/>
      </w:pPr>
      <w:r>
        <w:rPr>
          <w:rFonts w:ascii="Times New Roman" w:eastAsia="Times New Roman" w:hAnsi="Times New Roman" w:cs="Times New Roman"/>
          <w:sz w:val="24"/>
          <w:szCs w:val="24"/>
          <w:lang w:eastAsia="bg-BG"/>
        </w:rPr>
        <w:tab/>
      </w:r>
      <w:r w:rsidR="00D615A6">
        <w:rPr>
          <w:lang w:eastAsia="bg-BG"/>
        </w:rPr>
        <w:fldChar w:fldCharType="begin"/>
      </w:r>
      <w:r w:rsidR="00D615A6">
        <w:rPr>
          <w:lang w:eastAsia="bg-BG"/>
        </w:rPr>
        <w:instrText xml:space="preserve"> LINK </w:instrText>
      </w:r>
      <w:r w:rsidR="00B20DD9">
        <w:rPr>
          <w:lang w:eastAsia="bg-BG"/>
        </w:rPr>
        <w:instrText xml:space="preserve">Excel.SheetMacroEnabled.12 "C:\\Users\\User\\Desktop\\MI2-Texniko-ikonom2020\\Spr_1-5_2021 NRCEE_26.03.2021_SG.xlsm" ТИП!R10C1:R22C5 </w:instrText>
      </w:r>
      <w:r w:rsidR="00D615A6">
        <w:rPr>
          <w:lang w:eastAsia="bg-BG"/>
        </w:rPr>
        <w:instrText xml:space="preserve">\a \f 4 \h  \* MERGEFORMAT </w:instrText>
      </w:r>
      <w:r w:rsidR="00D615A6">
        <w:rPr>
          <w:lang w:eastAsia="bg-BG"/>
        </w:rPr>
        <w:fldChar w:fldCharType="separat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4899"/>
        <w:gridCol w:w="1134"/>
        <w:gridCol w:w="1418"/>
        <w:gridCol w:w="1417"/>
      </w:tblGrid>
      <w:tr w:rsidR="00D615A6" w:rsidRPr="00D615A6" w14:paraId="7ED786E9" w14:textId="77777777" w:rsidTr="00D615A6">
        <w:trPr>
          <w:trHeight w:val="450"/>
        </w:trPr>
        <w:tc>
          <w:tcPr>
            <w:tcW w:w="341" w:type="dxa"/>
            <w:vMerge w:val="restart"/>
            <w:shd w:val="clear" w:color="auto" w:fill="auto"/>
            <w:vAlign w:val="center"/>
            <w:hideMark/>
          </w:tcPr>
          <w:p w14:paraId="6CEB0FC0" w14:textId="77777777" w:rsidR="00D615A6" w:rsidRPr="00D615A6" w:rsidRDefault="00D615A6" w:rsidP="00D615A6">
            <w:pPr>
              <w:spacing w:after="0" w:line="240" w:lineRule="auto"/>
              <w:jc w:val="center"/>
              <w:rPr>
                <w:rFonts w:ascii="Times New Roman" w:eastAsia="Times New Roman" w:hAnsi="Times New Roman" w:cs="Times New Roman"/>
                <w:b/>
                <w:bCs/>
                <w:sz w:val="20"/>
                <w:szCs w:val="20"/>
                <w:lang w:eastAsia="bg-BG"/>
              </w:rPr>
            </w:pPr>
            <w:r w:rsidRPr="00D615A6">
              <w:rPr>
                <w:rFonts w:ascii="Times New Roman" w:eastAsia="Times New Roman" w:hAnsi="Times New Roman" w:cs="Times New Roman"/>
                <w:b/>
                <w:bCs/>
                <w:sz w:val="20"/>
                <w:szCs w:val="20"/>
                <w:lang w:eastAsia="bg-BG"/>
              </w:rPr>
              <w:t>№</w:t>
            </w:r>
          </w:p>
        </w:tc>
        <w:tc>
          <w:tcPr>
            <w:tcW w:w="4899" w:type="dxa"/>
            <w:vMerge w:val="restart"/>
            <w:shd w:val="clear" w:color="auto" w:fill="auto"/>
            <w:vAlign w:val="center"/>
            <w:hideMark/>
          </w:tcPr>
          <w:p w14:paraId="10C83C2D" w14:textId="77777777" w:rsidR="00D615A6" w:rsidRPr="00D615A6" w:rsidRDefault="00D615A6" w:rsidP="00D615A6">
            <w:pPr>
              <w:spacing w:after="0" w:line="240" w:lineRule="auto"/>
              <w:jc w:val="center"/>
              <w:rPr>
                <w:rFonts w:ascii="Times New Roman" w:eastAsia="Times New Roman" w:hAnsi="Times New Roman" w:cs="Times New Roman"/>
                <w:b/>
                <w:bCs/>
                <w:sz w:val="20"/>
                <w:szCs w:val="20"/>
                <w:lang w:eastAsia="bg-BG"/>
              </w:rPr>
            </w:pPr>
            <w:r w:rsidRPr="00D615A6">
              <w:rPr>
                <w:rFonts w:ascii="Times New Roman" w:eastAsia="Times New Roman" w:hAnsi="Times New Roman" w:cs="Times New Roman"/>
                <w:b/>
                <w:bCs/>
                <w:sz w:val="20"/>
                <w:szCs w:val="20"/>
                <w:lang w:eastAsia="bg-BG"/>
              </w:rPr>
              <w:t>ТЕХНИКО-ИКОНОМИЧЕСКИ ПОКАЗАТЕЛИ</w:t>
            </w:r>
          </w:p>
        </w:tc>
        <w:tc>
          <w:tcPr>
            <w:tcW w:w="1134" w:type="dxa"/>
            <w:vMerge w:val="restart"/>
            <w:shd w:val="clear" w:color="auto" w:fill="auto"/>
            <w:vAlign w:val="center"/>
            <w:hideMark/>
          </w:tcPr>
          <w:p w14:paraId="6CB954E6" w14:textId="77777777" w:rsidR="00D615A6" w:rsidRPr="00D615A6" w:rsidRDefault="00D615A6" w:rsidP="00D615A6">
            <w:pPr>
              <w:spacing w:after="0" w:line="240" w:lineRule="auto"/>
              <w:jc w:val="center"/>
              <w:rPr>
                <w:rFonts w:ascii="Times New Roman" w:eastAsia="Times New Roman" w:hAnsi="Times New Roman" w:cs="Times New Roman"/>
                <w:b/>
                <w:bCs/>
                <w:sz w:val="20"/>
                <w:szCs w:val="20"/>
                <w:lang w:eastAsia="bg-BG"/>
              </w:rPr>
            </w:pPr>
            <w:r w:rsidRPr="00D615A6">
              <w:rPr>
                <w:rFonts w:ascii="Times New Roman" w:eastAsia="Times New Roman" w:hAnsi="Times New Roman" w:cs="Times New Roman"/>
                <w:b/>
                <w:bCs/>
                <w:sz w:val="16"/>
                <w:szCs w:val="16"/>
                <w:lang w:eastAsia="bg-BG"/>
              </w:rPr>
              <w:t>МЯРКА</w:t>
            </w:r>
          </w:p>
        </w:tc>
        <w:tc>
          <w:tcPr>
            <w:tcW w:w="1418" w:type="dxa"/>
            <w:vMerge w:val="restart"/>
            <w:shd w:val="clear" w:color="auto" w:fill="auto"/>
            <w:vAlign w:val="center"/>
            <w:hideMark/>
          </w:tcPr>
          <w:p w14:paraId="1CFAF17F" w14:textId="77777777" w:rsidR="00D615A6" w:rsidRPr="00D615A6" w:rsidRDefault="00D615A6" w:rsidP="00D615A6">
            <w:pPr>
              <w:spacing w:after="0" w:line="240" w:lineRule="auto"/>
              <w:jc w:val="center"/>
              <w:rPr>
                <w:rFonts w:ascii="Times New Roman" w:eastAsia="Times New Roman" w:hAnsi="Times New Roman" w:cs="Times New Roman"/>
                <w:b/>
                <w:bCs/>
                <w:sz w:val="20"/>
                <w:szCs w:val="20"/>
                <w:lang w:eastAsia="bg-BG"/>
              </w:rPr>
            </w:pPr>
            <w:r w:rsidRPr="00D615A6">
              <w:rPr>
                <w:rFonts w:ascii="Times New Roman" w:eastAsia="Times New Roman" w:hAnsi="Times New Roman" w:cs="Times New Roman"/>
                <w:b/>
                <w:bCs/>
                <w:sz w:val="20"/>
                <w:szCs w:val="20"/>
                <w:lang w:eastAsia="bg-BG"/>
              </w:rPr>
              <w:t>Отчет 2020 година</w:t>
            </w:r>
          </w:p>
        </w:tc>
        <w:tc>
          <w:tcPr>
            <w:tcW w:w="1417" w:type="dxa"/>
            <w:vMerge w:val="restart"/>
            <w:shd w:val="clear" w:color="auto" w:fill="auto"/>
            <w:vAlign w:val="center"/>
            <w:hideMark/>
          </w:tcPr>
          <w:p w14:paraId="620F4504" w14:textId="77777777" w:rsidR="00D615A6" w:rsidRPr="00D615A6" w:rsidRDefault="00D615A6" w:rsidP="00D615A6">
            <w:pPr>
              <w:spacing w:after="0" w:line="240" w:lineRule="auto"/>
              <w:jc w:val="center"/>
              <w:rPr>
                <w:rFonts w:ascii="Times New Roman" w:eastAsia="Times New Roman" w:hAnsi="Times New Roman" w:cs="Times New Roman"/>
                <w:b/>
                <w:bCs/>
                <w:sz w:val="20"/>
                <w:szCs w:val="20"/>
                <w:lang w:eastAsia="bg-BG"/>
              </w:rPr>
            </w:pPr>
            <w:r w:rsidRPr="00D615A6">
              <w:rPr>
                <w:rFonts w:ascii="Times New Roman" w:eastAsia="Times New Roman" w:hAnsi="Times New Roman" w:cs="Times New Roman"/>
                <w:b/>
                <w:bCs/>
                <w:sz w:val="20"/>
                <w:szCs w:val="20"/>
                <w:lang w:eastAsia="bg-BG"/>
              </w:rPr>
              <w:t>Прогноза        регулаторен период 01.07.2021- 30.06.2022</w:t>
            </w:r>
          </w:p>
        </w:tc>
      </w:tr>
      <w:tr w:rsidR="00D615A6" w:rsidRPr="00D615A6" w14:paraId="03CA0080" w14:textId="77777777" w:rsidTr="00D615A6">
        <w:trPr>
          <w:trHeight w:val="840"/>
        </w:trPr>
        <w:tc>
          <w:tcPr>
            <w:tcW w:w="341" w:type="dxa"/>
            <w:vMerge/>
            <w:shd w:val="clear" w:color="auto" w:fill="auto"/>
            <w:vAlign w:val="center"/>
            <w:hideMark/>
          </w:tcPr>
          <w:p w14:paraId="2D5F9E65" w14:textId="77777777" w:rsidR="00D615A6" w:rsidRPr="00D615A6" w:rsidRDefault="00D615A6" w:rsidP="00D615A6">
            <w:pPr>
              <w:spacing w:after="0" w:line="240" w:lineRule="auto"/>
              <w:rPr>
                <w:rFonts w:ascii="Times New Roman" w:eastAsia="Times New Roman" w:hAnsi="Times New Roman" w:cs="Times New Roman"/>
                <w:b/>
                <w:bCs/>
                <w:sz w:val="20"/>
                <w:szCs w:val="20"/>
                <w:lang w:eastAsia="bg-BG"/>
              </w:rPr>
            </w:pPr>
          </w:p>
        </w:tc>
        <w:tc>
          <w:tcPr>
            <w:tcW w:w="4899" w:type="dxa"/>
            <w:vMerge/>
            <w:shd w:val="clear" w:color="auto" w:fill="auto"/>
            <w:vAlign w:val="center"/>
            <w:hideMark/>
          </w:tcPr>
          <w:p w14:paraId="484C4502" w14:textId="77777777" w:rsidR="00D615A6" w:rsidRPr="00D615A6" w:rsidRDefault="00D615A6" w:rsidP="00D615A6">
            <w:pPr>
              <w:spacing w:after="0" w:line="240" w:lineRule="auto"/>
              <w:rPr>
                <w:rFonts w:ascii="Times New Roman" w:eastAsia="Times New Roman" w:hAnsi="Times New Roman" w:cs="Times New Roman"/>
                <w:b/>
                <w:bCs/>
                <w:sz w:val="20"/>
                <w:szCs w:val="20"/>
                <w:lang w:eastAsia="bg-BG"/>
              </w:rPr>
            </w:pPr>
          </w:p>
        </w:tc>
        <w:tc>
          <w:tcPr>
            <w:tcW w:w="1134" w:type="dxa"/>
            <w:vMerge/>
            <w:shd w:val="clear" w:color="auto" w:fill="auto"/>
            <w:vAlign w:val="center"/>
            <w:hideMark/>
          </w:tcPr>
          <w:p w14:paraId="31004009" w14:textId="77777777" w:rsidR="00D615A6" w:rsidRPr="00D615A6" w:rsidRDefault="00D615A6" w:rsidP="00D615A6">
            <w:pPr>
              <w:spacing w:after="0" w:line="240" w:lineRule="auto"/>
              <w:rPr>
                <w:rFonts w:ascii="Times New Roman" w:eastAsia="Times New Roman" w:hAnsi="Times New Roman" w:cs="Times New Roman"/>
                <w:b/>
                <w:bCs/>
                <w:sz w:val="20"/>
                <w:szCs w:val="20"/>
                <w:lang w:eastAsia="bg-BG"/>
              </w:rPr>
            </w:pPr>
          </w:p>
        </w:tc>
        <w:tc>
          <w:tcPr>
            <w:tcW w:w="1418" w:type="dxa"/>
            <w:vMerge/>
            <w:shd w:val="clear" w:color="auto" w:fill="auto"/>
            <w:vAlign w:val="center"/>
            <w:hideMark/>
          </w:tcPr>
          <w:p w14:paraId="71A558BB" w14:textId="77777777" w:rsidR="00D615A6" w:rsidRPr="00D615A6" w:rsidRDefault="00D615A6" w:rsidP="00D615A6">
            <w:pPr>
              <w:spacing w:after="0" w:line="240" w:lineRule="auto"/>
              <w:rPr>
                <w:rFonts w:ascii="Times New Roman" w:eastAsia="Times New Roman" w:hAnsi="Times New Roman" w:cs="Times New Roman"/>
                <w:b/>
                <w:bCs/>
                <w:sz w:val="20"/>
                <w:szCs w:val="20"/>
                <w:lang w:eastAsia="bg-BG"/>
              </w:rPr>
            </w:pPr>
          </w:p>
        </w:tc>
        <w:tc>
          <w:tcPr>
            <w:tcW w:w="1417" w:type="dxa"/>
            <w:vMerge/>
            <w:shd w:val="clear" w:color="auto" w:fill="auto"/>
            <w:vAlign w:val="center"/>
            <w:hideMark/>
          </w:tcPr>
          <w:p w14:paraId="6F49F85D" w14:textId="77777777" w:rsidR="00D615A6" w:rsidRPr="00D615A6" w:rsidRDefault="00D615A6" w:rsidP="00D615A6">
            <w:pPr>
              <w:spacing w:after="0" w:line="240" w:lineRule="auto"/>
              <w:rPr>
                <w:rFonts w:ascii="Times New Roman" w:eastAsia="Times New Roman" w:hAnsi="Times New Roman" w:cs="Times New Roman"/>
                <w:b/>
                <w:bCs/>
                <w:sz w:val="20"/>
                <w:szCs w:val="20"/>
                <w:lang w:eastAsia="bg-BG"/>
              </w:rPr>
            </w:pPr>
          </w:p>
        </w:tc>
      </w:tr>
      <w:tr w:rsidR="00D615A6" w:rsidRPr="00D615A6" w14:paraId="2E6033D2" w14:textId="77777777" w:rsidTr="00D615A6">
        <w:trPr>
          <w:trHeight w:val="225"/>
        </w:trPr>
        <w:tc>
          <w:tcPr>
            <w:tcW w:w="341" w:type="dxa"/>
            <w:shd w:val="clear" w:color="auto" w:fill="auto"/>
            <w:noWrap/>
            <w:vAlign w:val="bottom"/>
            <w:hideMark/>
          </w:tcPr>
          <w:p w14:paraId="7781D396"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1</w:t>
            </w:r>
          </w:p>
        </w:tc>
        <w:tc>
          <w:tcPr>
            <w:tcW w:w="4899" w:type="dxa"/>
            <w:shd w:val="clear" w:color="auto" w:fill="auto"/>
            <w:noWrap/>
            <w:vAlign w:val="center"/>
            <w:hideMark/>
          </w:tcPr>
          <w:p w14:paraId="4A9F1E53"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2</w:t>
            </w:r>
          </w:p>
        </w:tc>
        <w:tc>
          <w:tcPr>
            <w:tcW w:w="1134" w:type="dxa"/>
            <w:shd w:val="clear" w:color="auto" w:fill="auto"/>
            <w:noWrap/>
            <w:vAlign w:val="center"/>
            <w:hideMark/>
          </w:tcPr>
          <w:p w14:paraId="555B214E"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3</w:t>
            </w:r>
          </w:p>
        </w:tc>
        <w:tc>
          <w:tcPr>
            <w:tcW w:w="1418" w:type="dxa"/>
            <w:shd w:val="clear" w:color="auto" w:fill="auto"/>
            <w:noWrap/>
            <w:vAlign w:val="center"/>
            <w:hideMark/>
          </w:tcPr>
          <w:p w14:paraId="24198E4C"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4</w:t>
            </w:r>
          </w:p>
        </w:tc>
        <w:tc>
          <w:tcPr>
            <w:tcW w:w="1417" w:type="dxa"/>
            <w:shd w:val="clear" w:color="auto" w:fill="auto"/>
            <w:noWrap/>
            <w:vAlign w:val="center"/>
            <w:hideMark/>
          </w:tcPr>
          <w:p w14:paraId="0374AEBD"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5</w:t>
            </w:r>
          </w:p>
        </w:tc>
      </w:tr>
      <w:tr w:rsidR="00D615A6" w:rsidRPr="00D615A6" w14:paraId="28450685" w14:textId="77777777" w:rsidTr="00610788">
        <w:trPr>
          <w:trHeight w:val="255"/>
        </w:trPr>
        <w:tc>
          <w:tcPr>
            <w:tcW w:w="341" w:type="dxa"/>
            <w:shd w:val="clear" w:color="auto" w:fill="auto"/>
            <w:noWrap/>
            <w:vAlign w:val="bottom"/>
            <w:hideMark/>
          </w:tcPr>
          <w:p w14:paraId="3BB0CABE"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1</w:t>
            </w:r>
          </w:p>
        </w:tc>
        <w:tc>
          <w:tcPr>
            <w:tcW w:w="4899" w:type="dxa"/>
            <w:shd w:val="clear" w:color="auto" w:fill="auto"/>
            <w:noWrap/>
            <w:vAlign w:val="center"/>
            <w:hideMark/>
          </w:tcPr>
          <w:p w14:paraId="085EB17F" w14:textId="77777777" w:rsidR="00D615A6" w:rsidRPr="00D615A6" w:rsidRDefault="00D615A6" w:rsidP="00D615A6">
            <w:pPr>
              <w:spacing w:after="0" w:line="240" w:lineRule="auto"/>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НЕТНА ЕЛЕКТРИЧЕСКА ЕНЕРГИЯ</w:t>
            </w:r>
            <w:r w:rsidRPr="00D615A6">
              <w:rPr>
                <w:rFonts w:ascii="Times New Roman" w:eastAsia="Times New Roman" w:hAnsi="Times New Roman" w:cs="Times New Roman"/>
                <w:b/>
                <w:bCs/>
                <w:sz w:val="20"/>
                <w:szCs w:val="20"/>
                <w:lang w:eastAsia="bg-BG"/>
              </w:rPr>
              <w:t xml:space="preserve"> Ен</w:t>
            </w:r>
          </w:p>
        </w:tc>
        <w:tc>
          <w:tcPr>
            <w:tcW w:w="1134" w:type="dxa"/>
            <w:shd w:val="clear" w:color="auto" w:fill="auto"/>
            <w:noWrap/>
            <w:vAlign w:val="center"/>
            <w:hideMark/>
          </w:tcPr>
          <w:p w14:paraId="33CBF9C7"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roofErr w:type="spellStart"/>
            <w:r w:rsidRPr="00D615A6">
              <w:rPr>
                <w:rFonts w:ascii="Times New Roman" w:eastAsia="Times New Roman" w:hAnsi="Times New Roman" w:cs="Times New Roman"/>
                <w:sz w:val="20"/>
                <w:szCs w:val="20"/>
                <w:lang w:eastAsia="bg-BG"/>
              </w:rPr>
              <w:t>МВтч</w:t>
            </w:r>
            <w:proofErr w:type="spellEnd"/>
          </w:p>
        </w:tc>
        <w:tc>
          <w:tcPr>
            <w:tcW w:w="1418" w:type="dxa"/>
            <w:shd w:val="clear" w:color="auto" w:fill="auto"/>
            <w:noWrap/>
            <w:vAlign w:val="center"/>
          </w:tcPr>
          <w:p w14:paraId="333A1A51" w14:textId="4519860F"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571052CA" w14:textId="7F38D1D9"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r>
      <w:tr w:rsidR="00D615A6" w:rsidRPr="00D615A6" w14:paraId="2B5A9B48" w14:textId="77777777" w:rsidTr="00610788">
        <w:trPr>
          <w:trHeight w:val="255"/>
        </w:trPr>
        <w:tc>
          <w:tcPr>
            <w:tcW w:w="341" w:type="dxa"/>
            <w:shd w:val="clear" w:color="auto" w:fill="auto"/>
            <w:noWrap/>
            <w:vAlign w:val="bottom"/>
            <w:hideMark/>
          </w:tcPr>
          <w:p w14:paraId="7B17EECF"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2</w:t>
            </w:r>
          </w:p>
        </w:tc>
        <w:tc>
          <w:tcPr>
            <w:tcW w:w="4899" w:type="dxa"/>
            <w:shd w:val="clear" w:color="auto" w:fill="auto"/>
            <w:vAlign w:val="center"/>
            <w:hideMark/>
          </w:tcPr>
          <w:p w14:paraId="60317AE0" w14:textId="2C6BB4A0" w:rsidR="00D615A6" w:rsidRPr="00D615A6" w:rsidRDefault="00D615A6" w:rsidP="00D615A6">
            <w:pPr>
              <w:spacing w:after="0" w:line="240" w:lineRule="auto"/>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 xml:space="preserve">РАЗПОЛАГАЕМОСТ НА ПРЕДОСТАВЕНАТА МОЩНОСТ </w:t>
            </w:r>
            <w:r w:rsidR="00B919F6">
              <w:rPr>
                <w:rFonts w:ascii="Times New Roman" w:eastAsia="Times New Roman" w:hAnsi="Times New Roman" w:cs="Times New Roman"/>
                <w:sz w:val="20"/>
                <w:szCs w:val="20"/>
                <w:lang w:eastAsia="bg-BG"/>
              </w:rPr>
              <w:t xml:space="preserve">максимално </w:t>
            </w:r>
            <w:proofErr w:type="spellStart"/>
            <w:r w:rsidR="00B919F6">
              <w:rPr>
                <w:rFonts w:ascii="Times New Roman" w:eastAsia="Times New Roman" w:hAnsi="Times New Roman" w:cs="Times New Roman"/>
                <w:sz w:val="20"/>
                <w:szCs w:val="20"/>
                <w:lang w:eastAsia="bg-BG"/>
              </w:rPr>
              <w:t>възможна</w:t>
            </w:r>
            <w:r w:rsidRPr="00D615A6">
              <w:rPr>
                <w:rFonts w:ascii="Times New Roman" w:eastAsia="Times New Roman" w:hAnsi="Times New Roman" w:cs="Times New Roman"/>
                <w:b/>
                <w:bCs/>
                <w:sz w:val="20"/>
                <w:szCs w:val="20"/>
                <w:lang w:eastAsia="bg-BG"/>
              </w:rPr>
              <w:t>Рпр.м</w:t>
            </w:r>
            <w:proofErr w:type="spellEnd"/>
            <w:r w:rsidRPr="00D615A6">
              <w:rPr>
                <w:rFonts w:ascii="Times New Roman" w:eastAsia="Times New Roman" w:hAnsi="Times New Roman" w:cs="Times New Roman"/>
                <w:b/>
                <w:bCs/>
                <w:sz w:val="20"/>
                <w:szCs w:val="20"/>
                <w:lang w:eastAsia="bg-BG"/>
              </w:rPr>
              <w:t xml:space="preserve"> </w:t>
            </w:r>
          </w:p>
        </w:tc>
        <w:tc>
          <w:tcPr>
            <w:tcW w:w="1134" w:type="dxa"/>
            <w:shd w:val="clear" w:color="auto" w:fill="auto"/>
            <w:noWrap/>
            <w:vAlign w:val="center"/>
            <w:hideMark/>
          </w:tcPr>
          <w:p w14:paraId="6543D0FE"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roofErr w:type="spellStart"/>
            <w:r w:rsidRPr="00D615A6">
              <w:rPr>
                <w:rFonts w:ascii="Times New Roman" w:eastAsia="Times New Roman" w:hAnsi="Times New Roman" w:cs="Times New Roman"/>
                <w:sz w:val="20"/>
                <w:szCs w:val="20"/>
                <w:lang w:eastAsia="bg-BG"/>
              </w:rPr>
              <w:t>МВтч</w:t>
            </w:r>
            <w:proofErr w:type="spellEnd"/>
          </w:p>
        </w:tc>
        <w:tc>
          <w:tcPr>
            <w:tcW w:w="1418" w:type="dxa"/>
            <w:shd w:val="clear" w:color="auto" w:fill="auto"/>
            <w:noWrap/>
            <w:vAlign w:val="center"/>
          </w:tcPr>
          <w:p w14:paraId="75B59682" w14:textId="41D78152"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525BEB31" w14:textId="0388FAA3"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r>
      <w:tr w:rsidR="00B919F6" w:rsidRPr="00D615A6" w14:paraId="0CD5254A" w14:textId="77777777" w:rsidTr="00D615A6">
        <w:trPr>
          <w:trHeight w:val="240"/>
        </w:trPr>
        <w:tc>
          <w:tcPr>
            <w:tcW w:w="341" w:type="dxa"/>
            <w:shd w:val="clear" w:color="auto" w:fill="auto"/>
            <w:noWrap/>
            <w:vAlign w:val="bottom"/>
          </w:tcPr>
          <w:p w14:paraId="660909E8" w14:textId="3AE850AA" w:rsidR="00B919F6" w:rsidRPr="00D615A6" w:rsidRDefault="00B919F6" w:rsidP="00D615A6">
            <w:pPr>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2.1</w:t>
            </w:r>
          </w:p>
        </w:tc>
        <w:tc>
          <w:tcPr>
            <w:tcW w:w="4899" w:type="dxa"/>
            <w:shd w:val="clear" w:color="auto" w:fill="auto"/>
            <w:noWrap/>
            <w:vAlign w:val="center"/>
          </w:tcPr>
          <w:p w14:paraId="03CE006C" w14:textId="65C2F806" w:rsidR="00B919F6" w:rsidRPr="00D615A6" w:rsidRDefault="00B919F6" w:rsidP="00D615A6">
            <w:pPr>
              <w:spacing w:after="0" w:line="240" w:lineRule="auto"/>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 xml:space="preserve">РАЗПОЛАГАЕМОСТ НА ПРЕДОСТАВЕНАТА МОЩНОСТ </w:t>
            </w:r>
            <w:r>
              <w:rPr>
                <w:rFonts w:ascii="Times New Roman" w:eastAsia="Times New Roman" w:hAnsi="Times New Roman" w:cs="Times New Roman"/>
                <w:sz w:val="20"/>
                <w:szCs w:val="20"/>
                <w:lang w:eastAsia="bg-BG"/>
              </w:rPr>
              <w:t xml:space="preserve">платена </w:t>
            </w:r>
            <w:proofErr w:type="spellStart"/>
            <w:r w:rsidRPr="00D615A6">
              <w:rPr>
                <w:rFonts w:ascii="Times New Roman" w:eastAsia="Times New Roman" w:hAnsi="Times New Roman" w:cs="Times New Roman"/>
                <w:b/>
                <w:bCs/>
                <w:sz w:val="20"/>
                <w:szCs w:val="20"/>
                <w:lang w:eastAsia="bg-BG"/>
              </w:rPr>
              <w:t>Рпр.м</w:t>
            </w:r>
            <w:proofErr w:type="spellEnd"/>
            <w:r>
              <w:rPr>
                <w:rFonts w:ascii="Times New Roman" w:eastAsia="Times New Roman" w:hAnsi="Times New Roman" w:cs="Times New Roman"/>
                <w:b/>
                <w:bCs/>
                <w:sz w:val="20"/>
                <w:szCs w:val="20"/>
                <w:lang w:eastAsia="bg-BG"/>
              </w:rPr>
              <w:t>*</w:t>
            </w:r>
          </w:p>
        </w:tc>
        <w:tc>
          <w:tcPr>
            <w:tcW w:w="1134" w:type="dxa"/>
            <w:shd w:val="clear" w:color="auto" w:fill="auto"/>
            <w:noWrap/>
            <w:vAlign w:val="center"/>
          </w:tcPr>
          <w:p w14:paraId="10F2DB5F" w14:textId="5C05CE2A" w:rsidR="00B919F6" w:rsidRPr="00D615A6" w:rsidRDefault="00B919F6" w:rsidP="00D615A6">
            <w:pPr>
              <w:spacing w:after="0" w:line="240" w:lineRule="auto"/>
              <w:jc w:val="center"/>
              <w:rPr>
                <w:rFonts w:ascii="Times New Roman" w:eastAsia="Times New Roman" w:hAnsi="Times New Roman" w:cs="Times New Roman"/>
                <w:sz w:val="20"/>
                <w:szCs w:val="20"/>
                <w:lang w:eastAsia="bg-BG"/>
              </w:rPr>
            </w:pPr>
            <w:proofErr w:type="spellStart"/>
            <w:r w:rsidRPr="00D615A6">
              <w:rPr>
                <w:rFonts w:ascii="Times New Roman" w:eastAsia="Times New Roman" w:hAnsi="Times New Roman" w:cs="Times New Roman"/>
                <w:sz w:val="20"/>
                <w:szCs w:val="20"/>
                <w:lang w:eastAsia="bg-BG"/>
              </w:rPr>
              <w:t>МВтч</w:t>
            </w:r>
            <w:proofErr w:type="spellEnd"/>
          </w:p>
        </w:tc>
        <w:tc>
          <w:tcPr>
            <w:tcW w:w="1418" w:type="dxa"/>
            <w:shd w:val="clear" w:color="auto" w:fill="auto"/>
            <w:noWrap/>
            <w:vAlign w:val="center"/>
          </w:tcPr>
          <w:p w14:paraId="4FD67E76" w14:textId="3903FC82" w:rsidR="00B919F6" w:rsidRPr="00D615A6" w:rsidRDefault="00B919F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72BE627C" w14:textId="68FAD107" w:rsidR="00B919F6" w:rsidRPr="00D615A6" w:rsidRDefault="00B919F6" w:rsidP="00D615A6">
            <w:pPr>
              <w:spacing w:after="0" w:line="240" w:lineRule="auto"/>
              <w:jc w:val="center"/>
              <w:rPr>
                <w:rFonts w:ascii="Times New Roman" w:eastAsia="Times New Roman" w:hAnsi="Times New Roman" w:cs="Times New Roman"/>
                <w:sz w:val="20"/>
                <w:szCs w:val="20"/>
                <w:lang w:eastAsia="bg-BG"/>
              </w:rPr>
            </w:pPr>
          </w:p>
        </w:tc>
      </w:tr>
      <w:tr w:rsidR="00D615A6" w:rsidRPr="00D615A6" w14:paraId="17E6FE32" w14:textId="77777777" w:rsidTr="00610788">
        <w:trPr>
          <w:trHeight w:val="240"/>
        </w:trPr>
        <w:tc>
          <w:tcPr>
            <w:tcW w:w="341" w:type="dxa"/>
            <w:shd w:val="clear" w:color="auto" w:fill="auto"/>
            <w:noWrap/>
            <w:vAlign w:val="bottom"/>
            <w:hideMark/>
          </w:tcPr>
          <w:p w14:paraId="4E03E2E3"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3</w:t>
            </w:r>
          </w:p>
        </w:tc>
        <w:tc>
          <w:tcPr>
            <w:tcW w:w="4899" w:type="dxa"/>
            <w:shd w:val="clear" w:color="auto" w:fill="auto"/>
            <w:noWrap/>
            <w:vAlign w:val="center"/>
            <w:hideMark/>
          </w:tcPr>
          <w:p w14:paraId="0623EE1E" w14:textId="77777777" w:rsidR="00D615A6" w:rsidRPr="00D615A6" w:rsidRDefault="00D615A6" w:rsidP="00D615A6">
            <w:pPr>
              <w:spacing w:after="0" w:line="240" w:lineRule="auto"/>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ПРОМЕНЛИВИ РАЗХОДИ</w:t>
            </w:r>
          </w:p>
        </w:tc>
        <w:tc>
          <w:tcPr>
            <w:tcW w:w="1134" w:type="dxa"/>
            <w:shd w:val="clear" w:color="auto" w:fill="auto"/>
            <w:noWrap/>
            <w:vAlign w:val="center"/>
            <w:hideMark/>
          </w:tcPr>
          <w:p w14:paraId="2B72AB99"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хил.</w:t>
            </w:r>
            <w:r>
              <w:rPr>
                <w:rFonts w:ascii="Times New Roman" w:eastAsia="Times New Roman" w:hAnsi="Times New Roman" w:cs="Times New Roman"/>
                <w:sz w:val="20"/>
                <w:szCs w:val="20"/>
                <w:lang w:eastAsia="bg-BG"/>
              </w:rPr>
              <w:t xml:space="preserve"> </w:t>
            </w:r>
            <w:r w:rsidRPr="00D615A6">
              <w:rPr>
                <w:rFonts w:ascii="Times New Roman" w:eastAsia="Times New Roman" w:hAnsi="Times New Roman" w:cs="Times New Roman"/>
                <w:sz w:val="20"/>
                <w:szCs w:val="20"/>
                <w:lang w:eastAsia="bg-BG"/>
              </w:rPr>
              <w:t>лв.</w:t>
            </w:r>
          </w:p>
        </w:tc>
        <w:tc>
          <w:tcPr>
            <w:tcW w:w="1418" w:type="dxa"/>
            <w:shd w:val="clear" w:color="auto" w:fill="auto"/>
            <w:noWrap/>
            <w:vAlign w:val="center"/>
          </w:tcPr>
          <w:p w14:paraId="692DD6FC" w14:textId="7931F685"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1E9D698D" w14:textId="7E3F49CD" w:rsidR="00D615A6" w:rsidRPr="00D615A6" w:rsidRDefault="00D615A6" w:rsidP="00B26AC1">
            <w:pPr>
              <w:spacing w:after="0" w:line="240" w:lineRule="auto"/>
              <w:jc w:val="center"/>
              <w:rPr>
                <w:rFonts w:ascii="Times New Roman" w:eastAsia="Times New Roman" w:hAnsi="Times New Roman" w:cs="Times New Roman"/>
                <w:sz w:val="20"/>
                <w:szCs w:val="20"/>
                <w:lang w:eastAsia="bg-BG"/>
              </w:rPr>
            </w:pPr>
          </w:p>
        </w:tc>
      </w:tr>
      <w:tr w:rsidR="00D615A6" w:rsidRPr="00D615A6" w14:paraId="631EE424" w14:textId="77777777" w:rsidTr="00610788">
        <w:trPr>
          <w:trHeight w:val="255"/>
        </w:trPr>
        <w:tc>
          <w:tcPr>
            <w:tcW w:w="341" w:type="dxa"/>
            <w:shd w:val="clear" w:color="auto" w:fill="auto"/>
            <w:noWrap/>
            <w:vAlign w:val="bottom"/>
            <w:hideMark/>
          </w:tcPr>
          <w:p w14:paraId="13B291F1"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4</w:t>
            </w:r>
          </w:p>
        </w:tc>
        <w:tc>
          <w:tcPr>
            <w:tcW w:w="4899" w:type="dxa"/>
            <w:shd w:val="clear" w:color="auto" w:fill="auto"/>
            <w:noWrap/>
            <w:vAlign w:val="center"/>
            <w:hideMark/>
          </w:tcPr>
          <w:p w14:paraId="449592DB" w14:textId="77777777" w:rsidR="00D615A6" w:rsidRPr="00D615A6" w:rsidRDefault="00D615A6" w:rsidP="00D615A6">
            <w:pPr>
              <w:spacing w:after="0" w:line="240" w:lineRule="auto"/>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УСЛОВНО-ПОСТОЯННИ РАЗХОДИ</w:t>
            </w:r>
          </w:p>
        </w:tc>
        <w:tc>
          <w:tcPr>
            <w:tcW w:w="1134" w:type="dxa"/>
            <w:shd w:val="clear" w:color="auto" w:fill="auto"/>
            <w:noWrap/>
            <w:vAlign w:val="center"/>
            <w:hideMark/>
          </w:tcPr>
          <w:p w14:paraId="392FC043"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хил.</w:t>
            </w:r>
            <w:r>
              <w:rPr>
                <w:rFonts w:ascii="Times New Roman" w:eastAsia="Times New Roman" w:hAnsi="Times New Roman" w:cs="Times New Roman"/>
                <w:sz w:val="20"/>
                <w:szCs w:val="20"/>
                <w:lang w:eastAsia="bg-BG"/>
              </w:rPr>
              <w:t xml:space="preserve"> </w:t>
            </w:r>
            <w:r w:rsidRPr="00D615A6">
              <w:rPr>
                <w:rFonts w:ascii="Times New Roman" w:eastAsia="Times New Roman" w:hAnsi="Times New Roman" w:cs="Times New Roman"/>
                <w:sz w:val="20"/>
                <w:szCs w:val="20"/>
                <w:lang w:eastAsia="bg-BG"/>
              </w:rPr>
              <w:t>лв.</w:t>
            </w:r>
          </w:p>
        </w:tc>
        <w:tc>
          <w:tcPr>
            <w:tcW w:w="1418" w:type="dxa"/>
            <w:shd w:val="clear" w:color="auto" w:fill="auto"/>
            <w:noWrap/>
            <w:vAlign w:val="center"/>
          </w:tcPr>
          <w:p w14:paraId="77EFA8F9" w14:textId="5CFF41DF"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4032421B" w14:textId="4F41BC74" w:rsidR="00D615A6" w:rsidRPr="00D615A6" w:rsidRDefault="00D615A6" w:rsidP="00E9783B">
            <w:pPr>
              <w:spacing w:after="0" w:line="240" w:lineRule="auto"/>
              <w:jc w:val="center"/>
              <w:rPr>
                <w:rFonts w:ascii="Times New Roman" w:eastAsia="Times New Roman" w:hAnsi="Times New Roman" w:cs="Times New Roman"/>
                <w:sz w:val="20"/>
                <w:szCs w:val="20"/>
                <w:lang w:eastAsia="bg-BG"/>
              </w:rPr>
            </w:pPr>
          </w:p>
        </w:tc>
      </w:tr>
      <w:tr w:rsidR="00D615A6" w:rsidRPr="00D615A6" w14:paraId="41A8C8B9" w14:textId="77777777" w:rsidTr="00610788">
        <w:trPr>
          <w:trHeight w:val="255"/>
        </w:trPr>
        <w:tc>
          <w:tcPr>
            <w:tcW w:w="341" w:type="dxa"/>
            <w:shd w:val="clear" w:color="auto" w:fill="auto"/>
            <w:noWrap/>
            <w:vAlign w:val="bottom"/>
            <w:hideMark/>
          </w:tcPr>
          <w:p w14:paraId="33232D38"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5</w:t>
            </w:r>
          </w:p>
        </w:tc>
        <w:tc>
          <w:tcPr>
            <w:tcW w:w="4899" w:type="dxa"/>
            <w:shd w:val="clear" w:color="auto" w:fill="auto"/>
            <w:noWrap/>
            <w:vAlign w:val="center"/>
            <w:hideMark/>
          </w:tcPr>
          <w:p w14:paraId="678A85A6" w14:textId="77777777" w:rsidR="00D615A6" w:rsidRPr="00D615A6" w:rsidRDefault="00D615A6" w:rsidP="00D615A6">
            <w:pPr>
              <w:spacing w:after="0" w:line="240" w:lineRule="auto"/>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ВЪЗВРЪЩАЕМОСТ</w:t>
            </w:r>
          </w:p>
        </w:tc>
        <w:tc>
          <w:tcPr>
            <w:tcW w:w="1134" w:type="dxa"/>
            <w:shd w:val="clear" w:color="auto" w:fill="auto"/>
            <w:noWrap/>
            <w:vAlign w:val="center"/>
            <w:hideMark/>
          </w:tcPr>
          <w:p w14:paraId="48361602"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хил.</w:t>
            </w:r>
            <w:r>
              <w:rPr>
                <w:rFonts w:ascii="Times New Roman" w:eastAsia="Times New Roman" w:hAnsi="Times New Roman" w:cs="Times New Roman"/>
                <w:sz w:val="20"/>
                <w:szCs w:val="20"/>
                <w:lang w:eastAsia="bg-BG"/>
              </w:rPr>
              <w:t xml:space="preserve"> </w:t>
            </w:r>
            <w:r w:rsidRPr="00D615A6">
              <w:rPr>
                <w:rFonts w:ascii="Times New Roman" w:eastAsia="Times New Roman" w:hAnsi="Times New Roman" w:cs="Times New Roman"/>
                <w:sz w:val="20"/>
                <w:szCs w:val="20"/>
                <w:lang w:eastAsia="bg-BG"/>
              </w:rPr>
              <w:t>лв.</w:t>
            </w:r>
          </w:p>
        </w:tc>
        <w:tc>
          <w:tcPr>
            <w:tcW w:w="1418" w:type="dxa"/>
            <w:shd w:val="clear" w:color="auto" w:fill="auto"/>
            <w:noWrap/>
            <w:vAlign w:val="center"/>
          </w:tcPr>
          <w:p w14:paraId="5DF7295C" w14:textId="1C88944C"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6DFA9811" w14:textId="3EADE9C5"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r>
      <w:tr w:rsidR="00D615A6" w:rsidRPr="00D615A6" w14:paraId="70CCCE04" w14:textId="77777777" w:rsidTr="00610788">
        <w:trPr>
          <w:trHeight w:val="255"/>
        </w:trPr>
        <w:tc>
          <w:tcPr>
            <w:tcW w:w="341" w:type="dxa"/>
            <w:shd w:val="clear" w:color="auto" w:fill="auto"/>
            <w:noWrap/>
            <w:vAlign w:val="bottom"/>
            <w:hideMark/>
          </w:tcPr>
          <w:p w14:paraId="0329477D"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6</w:t>
            </w:r>
          </w:p>
        </w:tc>
        <w:tc>
          <w:tcPr>
            <w:tcW w:w="4899" w:type="dxa"/>
            <w:shd w:val="clear" w:color="auto" w:fill="auto"/>
            <w:noWrap/>
            <w:vAlign w:val="center"/>
            <w:hideMark/>
          </w:tcPr>
          <w:p w14:paraId="61A83790" w14:textId="77777777" w:rsidR="00D615A6" w:rsidRPr="00D615A6" w:rsidRDefault="00D615A6" w:rsidP="00D615A6">
            <w:pPr>
              <w:spacing w:after="0" w:line="240" w:lineRule="auto"/>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НЕОБХОДИМИ ПРИХОДИ ЗА РАЗПОЛАГАЕМОСТ</w:t>
            </w:r>
          </w:p>
        </w:tc>
        <w:tc>
          <w:tcPr>
            <w:tcW w:w="1134" w:type="dxa"/>
            <w:shd w:val="clear" w:color="auto" w:fill="auto"/>
            <w:noWrap/>
            <w:vAlign w:val="center"/>
            <w:hideMark/>
          </w:tcPr>
          <w:p w14:paraId="0D686F27"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хил.</w:t>
            </w:r>
            <w:r>
              <w:rPr>
                <w:rFonts w:ascii="Times New Roman" w:eastAsia="Times New Roman" w:hAnsi="Times New Roman" w:cs="Times New Roman"/>
                <w:sz w:val="20"/>
                <w:szCs w:val="20"/>
                <w:lang w:eastAsia="bg-BG"/>
              </w:rPr>
              <w:t xml:space="preserve"> </w:t>
            </w:r>
            <w:r w:rsidRPr="00D615A6">
              <w:rPr>
                <w:rFonts w:ascii="Times New Roman" w:eastAsia="Times New Roman" w:hAnsi="Times New Roman" w:cs="Times New Roman"/>
                <w:sz w:val="20"/>
                <w:szCs w:val="20"/>
                <w:lang w:eastAsia="bg-BG"/>
              </w:rPr>
              <w:t>лв.</w:t>
            </w:r>
          </w:p>
        </w:tc>
        <w:tc>
          <w:tcPr>
            <w:tcW w:w="1418" w:type="dxa"/>
            <w:shd w:val="clear" w:color="auto" w:fill="auto"/>
            <w:noWrap/>
            <w:vAlign w:val="center"/>
          </w:tcPr>
          <w:p w14:paraId="7A7CDB7E" w14:textId="30EE1351"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22FD770C" w14:textId="044B1AC7" w:rsidR="00D615A6" w:rsidRPr="00D615A6" w:rsidRDefault="00D615A6" w:rsidP="00E9783B">
            <w:pPr>
              <w:spacing w:after="0" w:line="240" w:lineRule="auto"/>
              <w:jc w:val="center"/>
              <w:rPr>
                <w:rFonts w:ascii="Times New Roman" w:eastAsia="Times New Roman" w:hAnsi="Times New Roman" w:cs="Times New Roman"/>
                <w:sz w:val="20"/>
                <w:szCs w:val="20"/>
                <w:lang w:eastAsia="bg-BG"/>
              </w:rPr>
            </w:pPr>
          </w:p>
        </w:tc>
      </w:tr>
      <w:tr w:rsidR="00D615A6" w:rsidRPr="00D615A6" w14:paraId="461B4DA0" w14:textId="77777777" w:rsidTr="00610788">
        <w:trPr>
          <w:trHeight w:val="255"/>
        </w:trPr>
        <w:tc>
          <w:tcPr>
            <w:tcW w:w="341" w:type="dxa"/>
            <w:shd w:val="clear" w:color="auto" w:fill="auto"/>
            <w:noWrap/>
            <w:vAlign w:val="bottom"/>
            <w:hideMark/>
          </w:tcPr>
          <w:p w14:paraId="7C08544E"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7</w:t>
            </w:r>
          </w:p>
        </w:tc>
        <w:tc>
          <w:tcPr>
            <w:tcW w:w="4899" w:type="dxa"/>
            <w:shd w:val="clear" w:color="auto" w:fill="auto"/>
            <w:noWrap/>
            <w:vAlign w:val="center"/>
            <w:hideMark/>
          </w:tcPr>
          <w:p w14:paraId="6697210E" w14:textId="77777777" w:rsidR="00D615A6" w:rsidRPr="00D615A6" w:rsidRDefault="00D615A6" w:rsidP="00D615A6">
            <w:pPr>
              <w:spacing w:after="0" w:line="240" w:lineRule="auto"/>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НЕОБХОДИМИ ГОДИШНИ ПРИХОДИ</w:t>
            </w:r>
          </w:p>
        </w:tc>
        <w:tc>
          <w:tcPr>
            <w:tcW w:w="1134" w:type="dxa"/>
            <w:shd w:val="clear" w:color="auto" w:fill="auto"/>
            <w:noWrap/>
            <w:vAlign w:val="center"/>
            <w:hideMark/>
          </w:tcPr>
          <w:p w14:paraId="4EDC0581"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хил.</w:t>
            </w:r>
            <w:r>
              <w:rPr>
                <w:rFonts w:ascii="Times New Roman" w:eastAsia="Times New Roman" w:hAnsi="Times New Roman" w:cs="Times New Roman"/>
                <w:sz w:val="20"/>
                <w:szCs w:val="20"/>
                <w:lang w:eastAsia="bg-BG"/>
              </w:rPr>
              <w:t xml:space="preserve"> </w:t>
            </w:r>
            <w:r w:rsidRPr="00D615A6">
              <w:rPr>
                <w:rFonts w:ascii="Times New Roman" w:eastAsia="Times New Roman" w:hAnsi="Times New Roman" w:cs="Times New Roman"/>
                <w:sz w:val="20"/>
                <w:szCs w:val="20"/>
                <w:lang w:eastAsia="bg-BG"/>
              </w:rPr>
              <w:t>лв.</w:t>
            </w:r>
          </w:p>
        </w:tc>
        <w:tc>
          <w:tcPr>
            <w:tcW w:w="1418" w:type="dxa"/>
            <w:shd w:val="clear" w:color="auto" w:fill="auto"/>
            <w:noWrap/>
            <w:vAlign w:val="center"/>
          </w:tcPr>
          <w:p w14:paraId="69CC0385" w14:textId="504EE9FB"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52B00777" w14:textId="0604ED82" w:rsidR="00D615A6" w:rsidRPr="00D615A6" w:rsidRDefault="00D615A6" w:rsidP="00E9783B">
            <w:pPr>
              <w:spacing w:after="0" w:line="240" w:lineRule="auto"/>
              <w:jc w:val="center"/>
              <w:rPr>
                <w:rFonts w:ascii="Times New Roman" w:eastAsia="Times New Roman" w:hAnsi="Times New Roman" w:cs="Times New Roman"/>
                <w:sz w:val="20"/>
                <w:szCs w:val="20"/>
                <w:lang w:eastAsia="bg-BG"/>
              </w:rPr>
            </w:pPr>
          </w:p>
        </w:tc>
      </w:tr>
      <w:tr w:rsidR="00D615A6" w:rsidRPr="00D615A6" w14:paraId="232C3C52" w14:textId="77777777" w:rsidTr="00610788">
        <w:trPr>
          <w:trHeight w:val="255"/>
        </w:trPr>
        <w:tc>
          <w:tcPr>
            <w:tcW w:w="341" w:type="dxa"/>
            <w:shd w:val="clear" w:color="auto" w:fill="auto"/>
            <w:noWrap/>
            <w:vAlign w:val="bottom"/>
            <w:hideMark/>
          </w:tcPr>
          <w:p w14:paraId="207DD476"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8</w:t>
            </w:r>
          </w:p>
        </w:tc>
        <w:tc>
          <w:tcPr>
            <w:tcW w:w="4899" w:type="dxa"/>
            <w:shd w:val="clear" w:color="auto" w:fill="auto"/>
            <w:noWrap/>
            <w:vAlign w:val="center"/>
            <w:hideMark/>
          </w:tcPr>
          <w:p w14:paraId="164C6479" w14:textId="77777777" w:rsidR="00D615A6" w:rsidRPr="00D615A6" w:rsidRDefault="00D615A6" w:rsidP="00D615A6">
            <w:pPr>
              <w:spacing w:after="0" w:line="240" w:lineRule="auto"/>
              <w:rPr>
                <w:rFonts w:ascii="Times New Roman" w:eastAsia="Times New Roman" w:hAnsi="Times New Roman" w:cs="Times New Roman"/>
                <w:b/>
                <w:bCs/>
                <w:sz w:val="20"/>
                <w:szCs w:val="20"/>
                <w:lang w:eastAsia="bg-BG"/>
              </w:rPr>
            </w:pPr>
            <w:r w:rsidRPr="00D615A6">
              <w:rPr>
                <w:rFonts w:ascii="Times New Roman" w:eastAsia="Times New Roman" w:hAnsi="Times New Roman" w:cs="Times New Roman"/>
                <w:b/>
                <w:bCs/>
                <w:sz w:val="20"/>
                <w:szCs w:val="20"/>
                <w:lang w:eastAsia="bg-BG"/>
              </w:rPr>
              <w:t>ЦЕНА ЗА МОЩНОСТ</w:t>
            </w:r>
          </w:p>
        </w:tc>
        <w:tc>
          <w:tcPr>
            <w:tcW w:w="1134" w:type="dxa"/>
            <w:shd w:val="clear" w:color="auto" w:fill="auto"/>
            <w:noWrap/>
            <w:vAlign w:val="center"/>
            <w:hideMark/>
          </w:tcPr>
          <w:p w14:paraId="0BB732E1"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 xml:space="preserve"> лв./</w:t>
            </w:r>
            <w:proofErr w:type="spellStart"/>
            <w:r w:rsidRPr="00D615A6">
              <w:rPr>
                <w:rFonts w:ascii="Times New Roman" w:eastAsia="Times New Roman" w:hAnsi="Times New Roman" w:cs="Times New Roman"/>
                <w:sz w:val="20"/>
                <w:szCs w:val="20"/>
                <w:lang w:eastAsia="bg-BG"/>
              </w:rPr>
              <w:t>МВтч</w:t>
            </w:r>
            <w:proofErr w:type="spellEnd"/>
          </w:p>
        </w:tc>
        <w:tc>
          <w:tcPr>
            <w:tcW w:w="1418" w:type="dxa"/>
            <w:shd w:val="clear" w:color="auto" w:fill="auto"/>
            <w:noWrap/>
            <w:vAlign w:val="center"/>
          </w:tcPr>
          <w:p w14:paraId="0E2788B4" w14:textId="0618557E"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1DB42641" w14:textId="51BCD915"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r>
      <w:tr w:rsidR="00D615A6" w:rsidRPr="00D615A6" w14:paraId="5F5B1BC6" w14:textId="77777777" w:rsidTr="00610788">
        <w:trPr>
          <w:trHeight w:val="255"/>
        </w:trPr>
        <w:tc>
          <w:tcPr>
            <w:tcW w:w="341" w:type="dxa"/>
            <w:shd w:val="clear" w:color="auto" w:fill="auto"/>
            <w:noWrap/>
            <w:vAlign w:val="bottom"/>
            <w:hideMark/>
          </w:tcPr>
          <w:p w14:paraId="7312CBCF"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9</w:t>
            </w:r>
          </w:p>
        </w:tc>
        <w:tc>
          <w:tcPr>
            <w:tcW w:w="4899" w:type="dxa"/>
            <w:shd w:val="clear" w:color="auto" w:fill="auto"/>
            <w:noWrap/>
            <w:vAlign w:val="center"/>
            <w:hideMark/>
          </w:tcPr>
          <w:p w14:paraId="3321C2FB" w14:textId="77777777" w:rsidR="00D615A6" w:rsidRPr="00D615A6" w:rsidRDefault="00D615A6" w:rsidP="00D615A6">
            <w:pPr>
              <w:spacing w:after="0" w:line="240" w:lineRule="auto"/>
              <w:rPr>
                <w:rFonts w:ascii="Times New Roman" w:eastAsia="Times New Roman" w:hAnsi="Times New Roman" w:cs="Times New Roman"/>
                <w:b/>
                <w:bCs/>
                <w:sz w:val="20"/>
                <w:szCs w:val="20"/>
                <w:lang w:eastAsia="bg-BG"/>
              </w:rPr>
            </w:pPr>
            <w:r w:rsidRPr="00D615A6">
              <w:rPr>
                <w:rFonts w:ascii="Times New Roman" w:eastAsia="Times New Roman" w:hAnsi="Times New Roman" w:cs="Times New Roman"/>
                <w:b/>
                <w:bCs/>
                <w:sz w:val="20"/>
                <w:szCs w:val="20"/>
                <w:lang w:eastAsia="bg-BG"/>
              </w:rPr>
              <w:t>ЦЕНА ЗА ЕНЕРГИЯ</w:t>
            </w:r>
          </w:p>
        </w:tc>
        <w:tc>
          <w:tcPr>
            <w:tcW w:w="1134" w:type="dxa"/>
            <w:shd w:val="clear" w:color="auto" w:fill="auto"/>
            <w:noWrap/>
            <w:vAlign w:val="center"/>
            <w:hideMark/>
          </w:tcPr>
          <w:p w14:paraId="3141D78C"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 xml:space="preserve"> лв./</w:t>
            </w:r>
            <w:proofErr w:type="spellStart"/>
            <w:r w:rsidRPr="00D615A6">
              <w:rPr>
                <w:rFonts w:ascii="Times New Roman" w:eastAsia="Times New Roman" w:hAnsi="Times New Roman" w:cs="Times New Roman"/>
                <w:sz w:val="20"/>
                <w:szCs w:val="20"/>
                <w:lang w:eastAsia="bg-BG"/>
              </w:rPr>
              <w:t>МВтч</w:t>
            </w:r>
            <w:proofErr w:type="spellEnd"/>
          </w:p>
        </w:tc>
        <w:tc>
          <w:tcPr>
            <w:tcW w:w="1418" w:type="dxa"/>
            <w:shd w:val="clear" w:color="auto" w:fill="auto"/>
            <w:noWrap/>
            <w:vAlign w:val="center"/>
          </w:tcPr>
          <w:p w14:paraId="45F6F0D3" w14:textId="54E0E780"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p>
        </w:tc>
        <w:tc>
          <w:tcPr>
            <w:tcW w:w="1417" w:type="dxa"/>
            <w:shd w:val="clear" w:color="auto" w:fill="auto"/>
            <w:noWrap/>
            <w:vAlign w:val="center"/>
          </w:tcPr>
          <w:p w14:paraId="2D8195C3" w14:textId="7FF3BC63" w:rsidR="00D615A6" w:rsidRPr="00D615A6" w:rsidRDefault="00D615A6" w:rsidP="00E9783B">
            <w:pPr>
              <w:spacing w:after="0" w:line="240" w:lineRule="auto"/>
              <w:jc w:val="center"/>
              <w:rPr>
                <w:rFonts w:ascii="Times New Roman" w:eastAsia="Times New Roman" w:hAnsi="Times New Roman" w:cs="Times New Roman"/>
                <w:sz w:val="20"/>
                <w:szCs w:val="20"/>
                <w:lang w:eastAsia="bg-BG"/>
              </w:rPr>
            </w:pPr>
          </w:p>
        </w:tc>
      </w:tr>
      <w:tr w:rsidR="00D615A6" w:rsidRPr="00D615A6" w14:paraId="384302F7" w14:textId="77777777" w:rsidTr="00610788">
        <w:trPr>
          <w:trHeight w:val="270"/>
        </w:trPr>
        <w:tc>
          <w:tcPr>
            <w:tcW w:w="341" w:type="dxa"/>
            <w:shd w:val="clear" w:color="auto" w:fill="auto"/>
            <w:noWrap/>
            <w:vAlign w:val="bottom"/>
            <w:hideMark/>
          </w:tcPr>
          <w:p w14:paraId="45457523"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10</w:t>
            </w:r>
          </w:p>
        </w:tc>
        <w:tc>
          <w:tcPr>
            <w:tcW w:w="4899" w:type="dxa"/>
            <w:shd w:val="clear" w:color="auto" w:fill="auto"/>
            <w:noWrap/>
            <w:vAlign w:val="center"/>
            <w:hideMark/>
          </w:tcPr>
          <w:p w14:paraId="14ABA35F" w14:textId="77777777" w:rsidR="00D615A6" w:rsidRPr="00D615A6" w:rsidRDefault="00D615A6" w:rsidP="00D615A6">
            <w:pPr>
              <w:spacing w:after="0" w:line="240" w:lineRule="auto"/>
              <w:rPr>
                <w:rFonts w:ascii="Times New Roman" w:eastAsia="Times New Roman" w:hAnsi="Times New Roman" w:cs="Times New Roman"/>
                <w:b/>
                <w:bCs/>
                <w:sz w:val="20"/>
                <w:szCs w:val="20"/>
                <w:lang w:eastAsia="bg-BG"/>
              </w:rPr>
            </w:pPr>
            <w:r w:rsidRPr="00D615A6">
              <w:rPr>
                <w:rFonts w:ascii="Times New Roman" w:eastAsia="Times New Roman" w:hAnsi="Times New Roman" w:cs="Times New Roman"/>
                <w:b/>
                <w:bCs/>
                <w:sz w:val="20"/>
                <w:szCs w:val="20"/>
                <w:lang w:eastAsia="bg-BG"/>
              </w:rPr>
              <w:t>ПЪЛНА ЦЕНА</w:t>
            </w:r>
          </w:p>
        </w:tc>
        <w:tc>
          <w:tcPr>
            <w:tcW w:w="1134" w:type="dxa"/>
            <w:shd w:val="clear" w:color="auto" w:fill="auto"/>
            <w:noWrap/>
            <w:vAlign w:val="center"/>
            <w:hideMark/>
          </w:tcPr>
          <w:p w14:paraId="17A73D52" w14:textId="77777777" w:rsidR="00D615A6" w:rsidRPr="00D615A6" w:rsidRDefault="00D615A6" w:rsidP="00D615A6">
            <w:pPr>
              <w:spacing w:after="0" w:line="240" w:lineRule="auto"/>
              <w:jc w:val="center"/>
              <w:rPr>
                <w:rFonts w:ascii="Times New Roman" w:eastAsia="Times New Roman" w:hAnsi="Times New Roman" w:cs="Times New Roman"/>
                <w:sz w:val="20"/>
                <w:szCs w:val="20"/>
                <w:lang w:eastAsia="bg-BG"/>
              </w:rPr>
            </w:pPr>
            <w:r w:rsidRPr="00D615A6">
              <w:rPr>
                <w:rFonts w:ascii="Times New Roman" w:eastAsia="Times New Roman" w:hAnsi="Times New Roman" w:cs="Times New Roman"/>
                <w:sz w:val="20"/>
                <w:szCs w:val="20"/>
                <w:lang w:eastAsia="bg-BG"/>
              </w:rPr>
              <w:t xml:space="preserve"> лв./</w:t>
            </w:r>
            <w:proofErr w:type="spellStart"/>
            <w:r w:rsidRPr="00D615A6">
              <w:rPr>
                <w:rFonts w:ascii="Times New Roman" w:eastAsia="Times New Roman" w:hAnsi="Times New Roman" w:cs="Times New Roman"/>
                <w:sz w:val="20"/>
                <w:szCs w:val="20"/>
                <w:lang w:eastAsia="bg-BG"/>
              </w:rPr>
              <w:t>МВтч</w:t>
            </w:r>
            <w:proofErr w:type="spellEnd"/>
          </w:p>
        </w:tc>
        <w:tc>
          <w:tcPr>
            <w:tcW w:w="1418" w:type="dxa"/>
            <w:shd w:val="clear" w:color="auto" w:fill="auto"/>
            <w:noWrap/>
            <w:vAlign w:val="center"/>
          </w:tcPr>
          <w:p w14:paraId="05E8230C" w14:textId="448F2A56" w:rsidR="00D615A6" w:rsidRPr="00D615A6" w:rsidRDefault="00D615A6" w:rsidP="00D615A6">
            <w:pPr>
              <w:spacing w:after="0" w:line="240" w:lineRule="auto"/>
              <w:jc w:val="center"/>
              <w:rPr>
                <w:rFonts w:ascii="Times New Roman" w:eastAsia="Times New Roman" w:hAnsi="Times New Roman" w:cs="Times New Roman"/>
                <w:b/>
                <w:bCs/>
                <w:sz w:val="20"/>
                <w:szCs w:val="20"/>
                <w:lang w:eastAsia="bg-BG"/>
              </w:rPr>
            </w:pPr>
          </w:p>
        </w:tc>
        <w:tc>
          <w:tcPr>
            <w:tcW w:w="1417" w:type="dxa"/>
            <w:shd w:val="clear" w:color="auto" w:fill="auto"/>
            <w:noWrap/>
            <w:vAlign w:val="center"/>
          </w:tcPr>
          <w:p w14:paraId="359535F0" w14:textId="654A3406" w:rsidR="00D615A6" w:rsidRPr="00D615A6" w:rsidRDefault="00D615A6" w:rsidP="00E9783B">
            <w:pPr>
              <w:spacing w:after="0" w:line="240" w:lineRule="auto"/>
              <w:jc w:val="center"/>
              <w:rPr>
                <w:rFonts w:ascii="Times New Roman" w:eastAsia="Times New Roman" w:hAnsi="Times New Roman" w:cs="Times New Roman"/>
                <w:b/>
                <w:bCs/>
                <w:sz w:val="20"/>
                <w:szCs w:val="20"/>
                <w:lang w:eastAsia="bg-BG"/>
              </w:rPr>
            </w:pPr>
          </w:p>
        </w:tc>
      </w:tr>
    </w:tbl>
    <w:p w14:paraId="610D8F07" w14:textId="77777777" w:rsidR="00A67F00" w:rsidRDefault="00D615A6" w:rsidP="00830DEF">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fldChar w:fldCharType="end"/>
      </w:r>
    </w:p>
    <w:p w14:paraId="7DD5A235" w14:textId="181B1590" w:rsidR="00D615A6" w:rsidRDefault="00B919F6" w:rsidP="001365A2">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A67F00" w:rsidRPr="00F30A94">
        <w:rPr>
          <w:rFonts w:ascii="Times New Roman" w:eastAsia="Times New Roman" w:hAnsi="Times New Roman" w:cs="Times New Roman"/>
          <w:i/>
          <w:iCs/>
          <w:sz w:val="24"/>
          <w:szCs w:val="24"/>
          <w:lang w:eastAsia="bg-BG"/>
        </w:rPr>
        <w:t xml:space="preserve">Платената </w:t>
      </w:r>
      <w:proofErr w:type="spellStart"/>
      <w:r w:rsidR="00A67F00" w:rsidRPr="00F30A94">
        <w:rPr>
          <w:rFonts w:ascii="Times New Roman" w:eastAsia="Times New Roman" w:hAnsi="Times New Roman" w:cs="Times New Roman"/>
          <w:i/>
          <w:iCs/>
          <w:sz w:val="24"/>
          <w:szCs w:val="24"/>
          <w:lang w:eastAsia="bg-BG"/>
        </w:rPr>
        <w:t>разполагаемост</w:t>
      </w:r>
      <w:proofErr w:type="spellEnd"/>
      <w:r w:rsidR="00A67F00" w:rsidRPr="00F30A94">
        <w:rPr>
          <w:rFonts w:ascii="Times New Roman" w:eastAsia="Times New Roman" w:hAnsi="Times New Roman" w:cs="Times New Roman"/>
          <w:i/>
          <w:iCs/>
          <w:sz w:val="24"/>
          <w:szCs w:val="24"/>
          <w:lang w:eastAsia="bg-BG"/>
        </w:rPr>
        <w:t xml:space="preserve"> на предоставената мощност включва количествата </w:t>
      </w:r>
      <w:proofErr w:type="spellStart"/>
      <w:r w:rsidR="00A67F00" w:rsidRPr="00F30A94">
        <w:rPr>
          <w:rFonts w:ascii="Times New Roman" w:eastAsia="Times New Roman" w:hAnsi="Times New Roman" w:cs="Times New Roman"/>
          <w:i/>
          <w:iCs/>
          <w:sz w:val="24"/>
          <w:szCs w:val="24"/>
          <w:lang w:eastAsia="bg-BG"/>
        </w:rPr>
        <w:t>ел.енергия</w:t>
      </w:r>
      <w:proofErr w:type="spellEnd"/>
      <w:r w:rsidR="00A67F00" w:rsidRPr="00F30A94">
        <w:rPr>
          <w:rFonts w:ascii="Times New Roman" w:eastAsia="Times New Roman" w:hAnsi="Times New Roman" w:cs="Times New Roman"/>
          <w:i/>
          <w:iCs/>
          <w:sz w:val="24"/>
          <w:szCs w:val="24"/>
          <w:lang w:eastAsia="bg-BG"/>
        </w:rPr>
        <w:t xml:space="preserve"> продадени на „НЕК“ ЕАД, на свободния пазар „БНЕБ“, студен резерв „ЕСО“, допълнителни услуги ПР и ВР „ЕСО“, регулиране нагоре и продадена балансираща енергия „ЕСО“.</w:t>
      </w:r>
    </w:p>
    <w:p w14:paraId="11199B1A" w14:textId="2CABC3C7" w:rsidR="00DF661A" w:rsidRDefault="00117FFE" w:rsidP="001365A2">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стойността на необходимите годишни приходи </w:t>
      </w:r>
      <w:r w:rsidR="004339FD">
        <w:rPr>
          <w:rFonts w:ascii="Times New Roman" w:eastAsia="Times New Roman" w:hAnsi="Times New Roman" w:cs="Times New Roman"/>
          <w:sz w:val="24"/>
          <w:szCs w:val="24"/>
          <w:lang w:eastAsia="bg-BG"/>
        </w:rPr>
        <w:t xml:space="preserve">не са включени </w:t>
      </w:r>
      <w:r>
        <w:rPr>
          <w:rFonts w:ascii="Times New Roman" w:eastAsia="Times New Roman" w:hAnsi="Times New Roman" w:cs="Times New Roman"/>
          <w:sz w:val="24"/>
          <w:szCs w:val="24"/>
          <w:lang w:eastAsia="bg-BG"/>
        </w:rPr>
        <w:t xml:space="preserve">разходи за </w:t>
      </w:r>
      <w:r w:rsidR="00DF661A">
        <w:rPr>
          <w:rFonts w:ascii="Times New Roman" w:eastAsia="Times New Roman" w:hAnsi="Times New Roman" w:cs="Times New Roman"/>
          <w:sz w:val="24"/>
          <w:szCs w:val="24"/>
          <w:lang w:eastAsia="bg-BG"/>
        </w:rPr>
        <w:t xml:space="preserve">такси към </w:t>
      </w:r>
      <w:r>
        <w:rPr>
          <w:rFonts w:ascii="Times New Roman" w:eastAsia="Times New Roman" w:hAnsi="Times New Roman" w:cs="Times New Roman"/>
          <w:sz w:val="24"/>
          <w:szCs w:val="24"/>
          <w:lang w:eastAsia="bg-BG"/>
        </w:rPr>
        <w:t>ФСЕЕС, както и разходи свързани с „цена за достъп до електропреносната мрежа</w:t>
      </w:r>
      <w:r w:rsidR="00DF661A">
        <w:rPr>
          <w:rFonts w:ascii="Times New Roman" w:eastAsia="Times New Roman" w:hAnsi="Times New Roman" w:cs="Times New Roman"/>
          <w:sz w:val="24"/>
          <w:szCs w:val="24"/>
          <w:lang w:eastAsia="bg-BG"/>
        </w:rPr>
        <w:t xml:space="preserve"> за производители</w:t>
      </w:r>
      <w:r>
        <w:rPr>
          <w:rFonts w:ascii="Times New Roman" w:eastAsia="Times New Roman" w:hAnsi="Times New Roman" w:cs="Times New Roman"/>
          <w:sz w:val="24"/>
          <w:szCs w:val="24"/>
          <w:lang w:eastAsia="bg-BG"/>
        </w:rPr>
        <w:t>“</w:t>
      </w:r>
      <w:r w:rsidR="00B919F6">
        <w:rPr>
          <w:rFonts w:ascii="Times New Roman" w:eastAsia="Times New Roman" w:hAnsi="Times New Roman" w:cs="Times New Roman"/>
          <w:sz w:val="24"/>
          <w:szCs w:val="24"/>
          <w:lang w:eastAsia="bg-BG"/>
        </w:rPr>
        <w:t>, както и всички други разходи, които не се признават от КЕВР на основание чл</w:t>
      </w:r>
      <w:r w:rsidR="00417ACD">
        <w:rPr>
          <w:rFonts w:ascii="Times New Roman" w:eastAsia="Times New Roman" w:hAnsi="Times New Roman" w:cs="Times New Roman"/>
          <w:sz w:val="24"/>
          <w:szCs w:val="24"/>
          <w:lang w:eastAsia="bg-BG"/>
        </w:rPr>
        <w:t>11, ал.2</w:t>
      </w:r>
      <w:r w:rsidR="00B919F6">
        <w:rPr>
          <w:rFonts w:ascii="Times New Roman" w:eastAsia="Times New Roman" w:hAnsi="Times New Roman" w:cs="Times New Roman"/>
          <w:sz w:val="24"/>
          <w:szCs w:val="24"/>
          <w:lang w:eastAsia="bg-BG"/>
        </w:rPr>
        <w:t xml:space="preserve"> от НРЦЕЕ/ЗЕ</w:t>
      </w:r>
      <w:r>
        <w:rPr>
          <w:rFonts w:ascii="Times New Roman" w:eastAsia="Times New Roman" w:hAnsi="Times New Roman" w:cs="Times New Roman"/>
          <w:sz w:val="24"/>
          <w:szCs w:val="24"/>
          <w:lang w:eastAsia="bg-BG"/>
        </w:rPr>
        <w:t>.</w:t>
      </w:r>
      <w:r w:rsidR="004339FD">
        <w:rPr>
          <w:rFonts w:ascii="Times New Roman" w:eastAsia="Times New Roman" w:hAnsi="Times New Roman" w:cs="Times New Roman"/>
          <w:sz w:val="24"/>
          <w:szCs w:val="24"/>
          <w:lang w:eastAsia="bg-BG"/>
        </w:rPr>
        <w:t xml:space="preserve"> </w:t>
      </w:r>
    </w:p>
    <w:p w14:paraId="07BCBB5A" w14:textId="7E1BCFF0" w:rsidR="00117FFE" w:rsidRDefault="004339FD" w:rsidP="001365A2">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базовата 2020 г. на ред „Възвръщаемост“ са посочени </w:t>
      </w:r>
      <w:r w:rsidR="00B919F6">
        <w:rPr>
          <w:rFonts w:ascii="Times New Roman" w:eastAsia="Times New Roman" w:hAnsi="Times New Roman" w:cs="Times New Roman"/>
          <w:sz w:val="24"/>
          <w:szCs w:val="24"/>
          <w:lang w:eastAsia="bg-BG"/>
        </w:rPr>
        <w:t xml:space="preserve">реално отчетените </w:t>
      </w:r>
      <w:r>
        <w:rPr>
          <w:rFonts w:ascii="Times New Roman" w:eastAsia="Times New Roman" w:hAnsi="Times New Roman" w:cs="Times New Roman"/>
          <w:sz w:val="24"/>
          <w:szCs w:val="24"/>
          <w:lang w:eastAsia="bg-BG"/>
        </w:rPr>
        <w:t xml:space="preserve">разходи за лихви по заеми от БЕХ ЕАД и </w:t>
      </w:r>
      <w:r w:rsidR="00B919F6">
        <w:rPr>
          <w:rFonts w:ascii="Times New Roman" w:eastAsia="Times New Roman" w:hAnsi="Times New Roman" w:cs="Times New Roman"/>
          <w:sz w:val="24"/>
          <w:szCs w:val="24"/>
          <w:lang w:eastAsia="bg-BG"/>
        </w:rPr>
        <w:t>споразумение за разсрочено погасяване на задължения към „</w:t>
      </w:r>
      <w:r>
        <w:rPr>
          <w:rFonts w:ascii="Times New Roman" w:eastAsia="Times New Roman" w:hAnsi="Times New Roman" w:cs="Times New Roman"/>
          <w:sz w:val="24"/>
          <w:szCs w:val="24"/>
          <w:lang w:eastAsia="bg-BG"/>
        </w:rPr>
        <w:t>Мини Марица</w:t>
      </w:r>
      <w:r w:rsidR="00B919F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изток</w:t>
      </w:r>
      <w:r w:rsidR="00B919F6">
        <w:rPr>
          <w:rFonts w:ascii="Times New Roman" w:eastAsia="Times New Roman" w:hAnsi="Times New Roman" w:cs="Times New Roman"/>
          <w:sz w:val="24"/>
          <w:szCs w:val="24"/>
          <w:lang w:eastAsia="bg-BG"/>
        </w:rPr>
        <w:t>“ ЕАД</w:t>
      </w:r>
      <w:r>
        <w:rPr>
          <w:rFonts w:ascii="Times New Roman" w:eastAsia="Times New Roman" w:hAnsi="Times New Roman" w:cs="Times New Roman"/>
          <w:sz w:val="24"/>
          <w:szCs w:val="24"/>
          <w:lang w:eastAsia="bg-BG"/>
        </w:rPr>
        <w:t xml:space="preserve">. Тези разходи по лихви участват при определяне на нормата на възвръщаемост за съответния период, а включването им в стойността на разходите за отчетния период има за цел да установи минималната </w:t>
      </w:r>
      <w:r w:rsidR="00DF661A">
        <w:rPr>
          <w:rFonts w:ascii="Times New Roman" w:eastAsia="Times New Roman" w:hAnsi="Times New Roman" w:cs="Times New Roman"/>
          <w:sz w:val="24"/>
          <w:szCs w:val="24"/>
          <w:lang w:eastAsia="bg-BG"/>
        </w:rPr>
        <w:t xml:space="preserve">размер </w:t>
      </w:r>
      <w:r>
        <w:rPr>
          <w:rFonts w:ascii="Times New Roman" w:eastAsia="Times New Roman" w:hAnsi="Times New Roman" w:cs="Times New Roman"/>
          <w:sz w:val="24"/>
          <w:szCs w:val="24"/>
          <w:lang w:eastAsia="bg-BG"/>
        </w:rPr>
        <w:t xml:space="preserve">на </w:t>
      </w:r>
      <w:r w:rsidR="00DF661A">
        <w:rPr>
          <w:rFonts w:ascii="Times New Roman" w:eastAsia="Times New Roman" w:hAnsi="Times New Roman" w:cs="Times New Roman"/>
          <w:sz w:val="24"/>
          <w:szCs w:val="24"/>
          <w:lang w:eastAsia="bg-BG"/>
        </w:rPr>
        <w:t>разходите за производство на  ел. енергия</w:t>
      </w:r>
      <w:r>
        <w:rPr>
          <w:rFonts w:ascii="Times New Roman" w:eastAsia="Times New Roman" w:hAnsi="Times New Roman" w:cs="Times New Roman"/>
          <w:sz w:val="24"/>
          <w:szCs w:val="24"/>
          <w:lang w:eastAsia="bg-BG"/>
        </w:rPr>
        <w:t xml:space="preserve"> </w:t>
      </w:r>
      <w:proofErr w:type="spellStart"/>
      <w:r>
        <w:rPr>
          <w:rFonts w:ascii="Times New Roman" w:eastAsia="Times New Roman" w:hAnsi="Times New Roman" w:cs="Times New Roman"/>
          <w:sz w:val="24"/>
          <w:szCs w:val="24"/>
          <w:lang w:eastAsia="bg-BG"/>
        </w:rPr>
        <w:t>енергия</w:t>
      </w:r>
      <w:proofErr w:type="spellEnd"/>
      <w:r>
        <w:rPr>
          <w:rFonts w:ascii="Times New Roman" w:eastAsia="Times New Roman" w:hAnsi="Times New Roman" w:cs="Times New Roman"/>
          <w:sz w:val="24"/>
          <w:szCs w:val="24"/>
          <w:lang w:eastAsia="bg-BG"/>
        </w:rPr>
        <w:t xml:space="preserve">, </w:t>
      </w:r>
      <w:r w:rsidR="00DF661A">
        <w:rPr>
          <w:rFonts w:ascii="Times New Roman" w:eastAsia="Times New Roman" w:hAnsi="Times New Roman" w:cs="Times New Roman"/>
          <w:sz w:val="24"/>
          <w:szCs w:val="24"/>
          <w:lang w:eastAsia="bg-BG"/>
        </w:rPr>
        <w:t xml:space="preserve">които </w:t>
      </w:r>
      <w:r>
        <w:rPr>
          <w:rFonts w:ascii="Times New Roman" w:eastAsia="Times New Roman" w:hAnsi="Times New Roman" w:cs="Times New Roman"/>
          <w:sz w:val="24"/>
          <w:szCs w:val="24"/>
          <w:lang w:eastAsia="bg-BG"/>
        </w:rPr>
        <w:t xml:space="preserve">би следвало „ТЕЦ Марица изток 2“ЕАД да </w:t>
      </w:r>
      <w:r w:rsidR="00DF661A">
        <w:rPr>
          <w:rFonts w:ascii="Times New Roman" w:eastAsia="Times New Roman" w:hAnsi="Times New Roman" w:cs="Times New Roman"/>
          <w:sz w:val="24"/>
          <w:szCs w:val="24"/>
          <w:lang w:eastAsia="bg-BG"/>
        </w:rPr>
        <w:t xml:space="preserve">възвърне </w:t>
      </w:r>
      <w:r>
        <w:rPr>
          <w:rFonts w:ascii="Times New Roman" w:eastAsia="Times New Roman" w:hAnsi="Times New Roman" w:cs="Times New Roman"/>
          <w:sz w:val="24"/>
          <w:szCs w:val="24"/>
          <w:lang w:eastAsia="bg-BG"/>
        </w:rPr>
        <w:t>при производството и продажбата на електроенергия без да реализира загуби</w:t>
      </w:r>
      <w:r w:rsidR="00DF661A">
        <w:rPr>
          <w:rFonts w:ascii="Times New Roman" w:eastAsia="Times New Roman" w:hAnsi="Times New Roman" w:cs="Times New Roman"/>
          <w:sz w:val="24"/>
          <w:szCs w:val="24"/>
          <w:lang w:eastAsia="bg-BG"/>
        </w:rPr>
        <w:t xml:space="preserve"> </w:t>
      </w:r>
      <w:r w:rsidR="00DF661A">
        <w:rPr>
          <w:rFonts w:ascii="Times New Roman" w:eastAsia="Times New Roman" w:hAnsi="Times New Roman" w:cs="Times New Roman"/>
          <w:sz w:val="24"/>
          <w:szCs w:val="24"/>
          <w:lang w:val="en-GB" w:eastAsia="bg-BG"/>
        </w:rPr>
        <w:t>(</w:t>
      </w:r>
      <w:r w:rsidR="00DF661A">
        <w:rPr>
          <w:rFonts w:ascii="Times New Roman" w:eastAsia="Times New Roman" w:hAnsi="Times New Roman" w:cs="Times New Roman"/>
          <w:sz w:val="24"/>
          <w:szCs w:val="24"/>
          <w:lang w:eastAsia="bg-BG"/>
        </w:rPr>
        <w:t>освен загубите от непризнаването на таксите за фонд ФСЕС</w:t>
      </w:r>
      <w:r w:rsidR="0031208D">
        <w:rPr>
          <w:rFonts w:ascii="Times New Roman" w:eastAsia="Times New Roman" w:hAnsi="Times New Roman" w:cs="Times New Roman"/>
          <w:sz w:val="24"/>
          <w:szCs w:val="24"/>
          <w:lang w:eastAsia="bg-BG"/>
        </w:rPr>
        <w:t>,</w:t>
      </w:r>
      <w:r w:rsidR="00DF661A">
        <w:rPr>
          <w:rFonts w:ascii="Times New Roman" w:eastAsia="Times New Roman" w:hAnsi="Times New Roman" w:cs="Times New Roman"/>
          <w:sz w:val="24"/>
          <w:szCs w:val="24"/>
          <w:lang w:eastAsia="bg-BG"/>
        </w:rPr>
        <w:t xml:space="preserve"> разходи свързани с „цена </w:t>
      </w:r>
      <w:r w:rsidR="00DF661A">
        <w:rPr>
          <w:rFonts w:ascii="Times New Roman" w:eastAsia="Times New Roman" w:hAnsi="Times New Roman" w:cs="Times New Roman"/>
          <w:sz w:val="24"/>
          <w:szCs w:val="24"/>
          <w:lang w:eastAsia="bg-BG"/>
        </w:rPr>
        <w:lastRenderedPageBreak/>
        <w:t>за достъп до електропреносната мрежа за производители“</w:t>
      </w:r>
      <w:r w:rsidR="0031208D">
        <w:rPr>
          <w:rFonts w:ascii="Times New Roman" w:eastAsia="Times New Roman" w:hAnsi="Times New Roman" w:cs="Times New Roman"/>
          <w:sz w:val="24"/>
          <w:szCs w:val="24"/>
          <w:lang w:eastAsia="bg-BG"/>
        </w:rPr>
        <w:t xml:space="preserve"> и други необходимо-присъщи разходи, които по силата на нормативни изисквания не се признават от КЕВР</w:t>
      </w:r>
      <w:r w:rsidR="00DF661A">
        <w:rPr>
          <w:rFonts w:ascii="Times New Roman" w:eastAsia="Times New Roman" w:hAnsi="Times New Roman" w:cs="Times New Roman"/>
          <w:sz w:val="24"/>
          <w:szCs w:val="24"/>
          <w:lang w:val="en-GB" w:eastAsia="bg-BG"/>
        </w:rPr>
        <w:t>)</w:t>
      </w:r>
      <w:r>
        <w:rPr>
          <w:rFonts w:ascii="Times New Roman" w:eastAsia="Times New Roman" w:hAnsi="Times New Roman" w:cs="Times New Roman"/>
          <w:sz w:val="24"/>
          <w:szCs w:val="24"/>
          <w:lang w:eastAsia="bg-BG"/>
        </w:rPr>
        <w:t>.</w:t>
      </w:r>
    </w:p>
    <w:p w14:paraId="436DBE3F" w14:textId="20F2ED56" w:rsidR="00117FFE" w:rsidRPr="00117FFE" w:rsidRDefault="00117FFE" w:rsidP="001365A2">
      <w:pPr>
        <w:tabs>
          <w:tab w:val="num" w:pos="520"/>
        </w:tabs>
        <w:suppressAutoHyphens/>
        <w:spacing w:after="120" w:line="240" w:lineRule="auto"/>
        <w:jc w:val="both"/>
        <w:rPr>
          <w:rFonts w:ascii="Times New Roman" w:eastAsia="Times New Roman" w:hAnsi="Times New Roman" w:cs="Times New Roman"/>
          <w:sz w:val="24"/>
          <w:szCs w:val="24"/>
          <w:lang w:eastAsia="bg-BG"/>
        </w:rPr>
      </w:pPr>
      <w:r w:rsidRPr="00117FFE">
        <w:rPr>
          <w:rFonts w:ascii="Times New Roman" w:eastAsia="Times New Roman" w:hAnsi="Times New Roman" w:cs="Times New Roman"/>
          <w:sz w:val="24"/>
          <w:szCs w:val="24"/>
          <w:lang w:eastAsia="bg-BG"/>
        </w:rPr>
        <w:t xml:space="preserve">През новия ценови период, производствената програма на „ТЕЦ Марица изток“ ЕАД е разработена при спазване на нормативните изисквания за осигуряване на необходимото време за извършване на текущи планови ремонти. </w:t>
      </w:r>
    </w:p>
    <w:p w14:paraId="64284170" w14:textId="77777777" w:rsidR="00117FFE" w:rsidRPr="00117FFE" w:rsidRDefault="00117FFE" w:rsidP="009F1C0A">
      <w:pPr>
        <w:pStyle w:val="ListParagraph"/>
        <w:spacing w:after="0" w:line="240" w:lineRule="auto"/>
        <w:ind w:left="1275"/>
        <w:jc w:val="both"/>
        <w:rPr>
          <w:rFonts w:ascii="Times New Roman" w:eastAsia="Times New Roman" w:hAnsi="Times New Roman" w:cs="Times New Roman"/>
          <w:b/>
          <w:sz w:val="24"/>
          <w:szCs w:val="24"/>
          <w:lang w:eastAsia="bg-BG"/>
        </w:rPr>
      </w:pPr>
      <w:r w:rsidRPr="00117FFE">
        <w:rPr>
          <w:rFonts w:ascii="Times New Roman" w:eastAsia="Times New Roman" w:hAnsi="Times New Roman" w:cs="Times New Roman"/>
          <w:b/>
          <w:sz w:val="24"/>
          <w:szCs w:val="24"/>
          <w:lang w:eastAsia="bg-BG"/>
        </w:rPr>
        <w:fldChar w:fldCharType="begin"/>
      </w:r>
      <w:r w:rsidRPr="00117FFE">
        <w:rPr>
          <w:rFonts w:ascii="Times New Roman" w:eastAsia="Times New Roman" w:hAnsi="Times New Roman" w:cs="Times New Roman"/>
          <w:b/>
          <w:sz w:val="24"/>
          <w:szCs w:val="24"/>
          <w:lang w:eastAsia="bg-BG"/>
        </w:rPr>
        <w:instrText xml:space="preserve"> LINK Excel.Sheet.8 "C:\\Users\\User\\Desktop\\Модел за компенсиране на разходите 2018_v1_sg_26.03.2018.xls" Sheet2!R2C1:R15C5 \a \f 4 \h  \* MERGEFORMAT </w:instrText>
      </w:r>
      <w:r w:rsidRPr="00117FFE">
        <w:rPr>
          <w:rFonts w:ascii="Times New Roman" w:eastAsia="Times New Roman" w:hAnsi="Times New Roman" w:cs="Times New Roman"/>
          <w:b/>
          <w:sz w:val="24"/>
          <w:szCs w:val="24"/>
          <w:lang w:eastAsia="bg-BG"/>
        </w:rPr>
        <w:fldChar w:fldCharType="separate"/>
      </w:r>
    </w:p>
    <w:p w14:paraId="77635B9F" w14:textId="77777777" w:rsidR="00117FFE" w:rsidRDefault="00117FFE" w:rsidP="009F1C0A">
      <w:pPr>
        <w:pStyle w:val="ListParagraph"/>
        <w:numPr>
          <w:ilvl w:val="1"/>
          <w:numId w:val="3"/>
        </w:numPr>
        <w:spacing w:after="0" w:line="240" w:lineRule="auto"/>
        <w:jc w:val="both"/>
        <w:rPr>
          <w:rFonts w:ascii="Times New Roman" w:eastAsia="Times New Roman" w:hAnsi="Times New Roman" w:cs="Times New Roman"/>
          <w:b/>
          <w:sz w:val="24"/>
          <w:szCs w:val="24"/>
          <w:lang w:eastAsia="bg-BG"/>
        </w:rPr>
      </w:pPr>
      <w:r w:rsidRPr="00117FFE">
        <w:rPr>
          <w:rFonts w:ascii="Times New Roman" w:eastAsia="Times New Roman" w:hAnsi="Times New Roman" w:cs="Times New Roman"/>
          <w:b/>
          <w:sz w:val="24"/>
          <w:szCs w:val="24"/>
          <w:lang w:eastAsia="bg-BG"/>
        </w:rPr>
        <w:fldChar w:fldCharType="end"/>
      </w:r>
      <w:r w:rsidRPr="00117FFE">
        <w:rPr>
          <w:rFonts w:ascii="Times New Roman" w:eastAsia="Times New Roman" w:hAnsi="Times New Roman" w:cs="Times New Roman"/>
          <w:b/>
          <w:sz w:val="24"/>
          <w:szCs w:val="24"/>
          <w:lang w:eastAsia="bg-BG"/>
        </w:rPr>
        <w:t>Променливи разходи – основно гориво, горива за разпалване и поддържане, варовик за СОИ и квоти за емисии парникови газове, включени в цената за енергия</w:t>
      </w:r>
    </w:p>
    <w:p w14:paraId="39BEDF38" w14:textId="77777777" w:rsidR="00B6448A" w:rsidRDefault="00B6448A" w:rsidP="00B6448A">
      <w:pPr>
        <w:spacing w:after="0" w:line="240" w:lineRule="auto"/>
        <w:jc w:val="both"/>
      </w:pPr>
      <w:r>
        <w:rPr>
          <w:lang w:eastAsia="bg-BG"/>
        </w:rPr>
        <w:fldChar w:fldCharType="begin"/>
      </w:r>
      <w:r>
        <w:rPr>
          <w:lang w:eastAsia="bg-BG"/>
        </w:rPr>
        <w:instrText xml:space="preserve"> LINK </w:instrText>
      </w:r>
      <w:r w:rsidR="00B20DD9">
        <w:rPr>
          <w:lang w:eastAsia="bg-BG"/>
        </w:rPr>
        <w:instrText xml:space="preserve">Excel.SheetMacroEnabled.12 "C:\\Users\\User\\Desktop\\MI2-Texniko-ikonom2020\\Spr_1-5_2021 NRCEE_26.03.2021_SG.xlsm" Разходи!R70C1:R91C5 </w:instrText>
      </w:r>
      <w:r>
        <w:rPr>
          <w:lang w:eastAsia="bg-BG"/>
        </w:rPr>
        <w:instrText xml:space="preserve">\a \f 4 \h  \* MERGEFORMAT </w:instrText>
      </w:r>
      <w:r>
        <w:rPr>
          <w:lang w:eastAsia="bg-BG"/>
        </w:rPr>
        <w:fldChar w:fldCharType="separate"/>
      </w:r>
    </w:p>
    <w:tbl>
      <w:tblPr>
        <w:tblW w:w="8260" w:type="dxa"/>
        <w:jc w:val="center"/>
        <w:tblCellMar>
          <w:left w:w="70" w:type="dxa"/>
          <w:right w:w="70" w:type="dxa"/>
        </w:tblCellMar>
        <w:tblLook w:val="04A0" w:firstRow="1" w:lastRow="0" w:firstColumn="1" w:lastColumn="0" w:noHBand="0" w:noVBand="1"/>
      </w:tblPr>
      <w:tblGrid>
        <w:gridCol w:w="580"/>
        <w:gridCol w:w="4160"/>
        <w:gridCol w:w="1020"/>
        <w:gridCol w:w="1200"/>
        <w:gridCol w:w="1300"/>
      </w:tblGrid>
      <w:tr w:rsidR="00B6448A" w:rsidRPr="00B6448A" w14:paraId="648B9D8C" w14:textId="77777777" w:rsidTr="00F30A94">
        <w:trPr>
          <w:trHeight w:val="240"/>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635F1"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p>
        </w:tc>
        <w:tc>
          <w:tcPr>
            <w:tcW w:w="4160" w:type="dxa"/>
            <w:tcBorders>
              <w:top w:val="single" w:sz="4" w:space="0" w:color="auto"/>
              <w:left w:val="nil"/>
              <w:bottom w:val="single" w:sz="4" w:space="0" w:color="auto"/>
              <w:right w:val="single" w:sz="4" w:space="0" w:color="auto"/>
            </w:tcBorders>
            <w:shd w:val="clear" w:color="auto" w:fill="auto"/>
            <w:noWrap/>
            <w:vAlign w:val="bottom"/>
          </w:tcPr>
          <w:p w14:paraId="39D04D25" w14:textId="77777777" w:rsidR="00B6448A" w:rsidRPr="00B6448A" w:rsidRDefault="00B6448A" w:rsidP="00B6448A">
            <w:pPr>
              <w:spacing w:after="0" w:line="240" w:lineRule="auto"/>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Наименование на разходите</w:t>
            </w:r>
          </w:p>
        </w:tc>
        <w:tc>
          <w:tcPr>
            <w:tcW w:w="1020" w:type="dxa"/>
            <w:tcBorders>
              <w:top w:val="single" w:sz="4" w:space="0" w:color="auto"/>
              <w:left w:val="nil"/>
              <w:bottom w:val="single" w:sz="4" w:space="0" w:color="auto"/>
              <w:right w:val="single" w:sz="4" w:space="0" w:color="auto"/>
            </w:tcBorders>
            <w:shd w:val="clear" w:color="auto" w:fill="auto"/>
            <w:noWrap/>
            <w:vAlign w:val="center"/>
          </w:tcPr>
          <w:p w14:paraId="072C622E"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Мярка</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4CBF3B1A"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Отчет 2020</w:t>
            </w:r>
          </w:p>
        </w:tc>
        <w:tc>
          <w:tcPr>
            <w:tcW w:w="1300" w:type="dxa"/>
            <w:tcBorders>
              <w:top w:val="single" w:sz="4" w:space="0" w:color="auto"/>
              <w:left w:val="nil"/>
              <w:bottom w:val="single" w:sz="4" w:space="0" w:color="auto"/>
              <w:right w:val="single" w:sz="4" w:space="0" w:color="auto"/>
            </w:tcBorders>
            <w:shd w:val="clear" w:color="auto" w:fill="auto"/>
            <w:noWrap/>
            <w:vAlign w:val="center"/>
          </w:tcPr>
          <w:p w14:paraId="5F4B3DB8"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Прогноза 01.07.2021-30.06.2022</w:t>
            </w:r>
          </w:p>
        </w:tc>
      </w:tr>
      <w:tr w:rsidR="00B6448A" w:rsidRPr="00B6448A" w14:paraId="1A80A68E" w14:textId="77777777" w:rsidTr="00610788">
        <w:trPr>
          <w:trHeight w:val="240"/>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7FEAA"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ІІ</w:t>
            </w:r>
          </w:p>
        </w:tc>
        <w:tc>
          <w:tcPr>
            <w:tcW w:w="4160" w:type="dxa"/>
            <w:tcBorders>
              <w:top w:val="single" w:sz="4" w:space="0" w:color="auto"/>
              <w:left w:val="nil"/>
              <w:bottom w:val="single" w:sz="4" w:space="0" w:color="auto"/>
              <w:right w:val="single" w:sz="4" w:space="0" w:color="auto"/>
            </w:tcBorders>
            <w:shd w:val="clear" w:color="auto" w:fill="auto"/>
            <w:noWrap/>
            <w:vAlign w:val="bottom"/>
            <w:hideMark/>
          </w:tcPr>
          <w:p w14:paraId="2861B4CC" w14:textId="77777777" w:rsidR="00B6448A" w:rsidRPr="00B6448A" w:rsidRDefault="00B6448A" w:rsidP="00B6448A">
            <w:pPr>
              <w:spacing w:after="0" w:line="240" w:lineRule="auto"/>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ПРОМЕНЛИВИ РАЗХОДИ</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4761C54F"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хил. лв.</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0CDB4151" w14:textId="6ABAA79D"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p>
        </w:tc>
        <w:tc>
          <w:tcPr>
            <w:tcW w:w="1300" w:type="dxa"/>
            <w:tcBorders>
              <w:top w:val="single" w:sz="4" w:space="0" w:color="auto"/>
              <w:left w:val="nil"/>
              <w:bottom w:val="single" w:sz="4" w:space="0" w:color="auto"/>
              <w:right w:val="single" w:sz="4" w:space="0" w:color="auto"/>
            </w:tcBorders>
            <w:shd w:val="clear" w:color="auto" w:fill="auto"/>
            <w:noWrap/>
            <w:vAlign w:val="center"/>
          </w:tcPr>
          <w:p w14:paraId="52657D31" w14:textId="13FA9B7F" w:rsidR="00B6448A" w:rsidRPr="00B6448A" w:rsidRDefault="00B6448A" w:rsidP="00193A4A">
            <w:pPr>
              <w:spacing w:after="0" w:line="240" w:lineRule="auto"/>
              <w:jc w:val="center"/>
              <w:rPr>
                <w:rFonts w:ascii="Times New Roman" w:eastAsia="Times New Roman" w:hAnsi="Times New Roman" w:cs="Times New Roman"/>
                <w:b/>
                <w:bCs/>
                <w:sz w:val="20"/>
                <w:szCs w:val="20"/>
                <w:lang w:eastAsia="bg-BG"/>
              </w:rPr>
            </w:pPr>
          </w:p>
        </w:tc>
      </w:tr>
      <w:tr w:rsidR="00B6448A" w:rsidRPr="00B6448A" w14:paraId="391EBAD2"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48262B0"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1</w:t>
            </w:r>
          </w:p>
        </w:tc>
        <w:tc>
          <w:tcPr>
            <w:tcW w:w="4160" w:type="dxa"/>
            <w:tcBorders>
              <w:top w:val="nil"/>
              <w:left w:val="nil"/>
              <w:bottom w:val="single" w:sz="4" w:space="0" w:color="auto"/>
              <w:right w:val="single" w:sz="4" w:space="0" w:color="auto"/>
            </w:tcBorders>
            <w:shd w:val="clear" w:color="auto" w:fill="auto"/>
            <w:noWrap/>
            <w:vAlign w:val="bottom"/>
            <w:hideMark/>
          </w:tcPr>
          <w:p w14:paraId="2910D042" w14:textId="77777777" w:rsidR="00B6448A" w:rsidRPr="00B6448A" w:rsidRDefault="00B6448A" w:rsidP="00B6448A">
            <w:pPr>
              <w:spacing w:after="0" w:line="240" w:lineRule="auto"/>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 xml:space="preserve">Гориво за производство, </w:t>
            </w:r>
            <w:r w:rsidRPr="00B6448A">
              <w:rPr>
                <w:rFonts w:ascii="Times New Roman" w:eastAsia="Times New Roman" w:hAnsi="Times New Roman" w:cs="Times New Roman"/>
                <w:sz w:val="20"/>
                <w:szCs w:val="20"/>
                <w:lang w:eastAsia="bg-BG"/>
              </w:rPr>
              <w:t>в т.ч.:</w:t>
            </w:r>
          </w:p>
        </w:tc>
        <w:tc>
          <w:tcPr>
            <w:tcW w:w="1020" w:type="dxa"/>
            <w:tcBorders>
              <w:top w:val="nil"/>
              <w:left w:val="nil"/>
              <w:bottom w:val="single" w:sz="4" w:space="0" w:color="auto"/>
              <w:right w:val="single" w:sz="4" w:space="0" w:color="auto"/>
            </w:tcBorders>
            <w:shd w:val="clear" w:color="auto" w:fill="auto"/>
            <w:noWrap/>
            <w:vAlign w:val="center"/>
            <w:hideMark/>
          </w:tcPr>
          <w:p w14:paraId="0512310C"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25F04E43" w14:textId="102C0525"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0EF71CF6" w14:textId="03CE242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p>
        </w:tc>
      </w:tr>
      <w:tr w:rsidR="00B6448A" w:rsidRPr="00B6448A" w14:paraId="00E35594"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AF1DFA1"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5C1D1F6B"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xml:space="preserve">            -основно гориво</w:t>
            </w:r>
          </w:p>
        </w:tc>
        <w:tc>
          <w:tcPr>
            <w:tcW w:w="1020" w:type="dxa"/>
            <w:tcBorders>
              <w:top w:val="nil"/>
              <w:left w:val="nil"/>
              <w:bottom w:val="single" w:sz="4" w:space="0" w:color="auto"/>
              <w:right w:val="single" w:sz="4" w:space="0" w:color="auto"/>
            </w:tcBorders>
            <w:shd w:val="clear" w:color="auto" w:fill="auto"/>
            <w:noWrap/>
            <w:vAlign w:val="center"/>
            <w:hideMark/>
          </w:tcPr>
          <w:p w14:paraId="644B367E"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34766BD2" w14:textId="164D9921"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3E132E48" w14:textId="39F839DE"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4D196039"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C56C4F1"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17CE118B"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xml:space="preserve">въглища І - местни Марица-изток </w:t>
            </w:r>
          </w:p>
        </w:tc>
        <w:tc>
          <w:tcPr>
            <w:tcW w:w="1020" w:type="dxa"/>
            <w:tcBorders>
              <w:top w:val="nil"/>
              <w:left w:val="nil"/>
              <w:bottom w:val="single" w:sz="4" w:space="0" w:color="auto"/>
              <w:right w:val="single" w:sz="4" w:space="0" w:color="auto"/>
            </w:tcBorders>
            <w:shd w:val="clear" w:color="auto" w:fill="auto"/>
            <w:noWrap/>
            <w:vAlign w:val="center"/>
            <w:hideMark/>
          </w:tcPr>
          <w:p w14:paraId="5783C51E"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752DFA42" w14:textId="02D0B9F1"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7FE69CC6" w14:textId="1C7A002F"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61B99727"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8D5421"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05E165A3"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1020" w:type="dxa"/>
            <w:tcBorders>
              <w:top w:val="nil"/>
              <w:left w:val="nil"/>
              <w:bottom w:val="single" w:sz="4" w:space="0" w:color="auto"/>
              <w:right w:val="single" w:sz="4" w:space="0" w:color="auto"/>
            </w:tcBorders>
            <w:shd w:val="clear" w:color="auto" w:fill="auto"/>
            <w:noWrap/>
            <w:vAlign w:val="center"/>
            <w:hideMark/>
          </w:tcPr>
          <w:p w14:paraId="3304C40E"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58E21C82" w14:textId="0F65D64F"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756C95BE" w14:textId="50DB46E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36DDF764"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7E89A32"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217040A4"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xml:space="preserve">             -гориво за разпалване</w:t>
            </w:r>
          </w:p>
        </w:tc>
        <w:tc>
          <w:tcPr>
            <w:tcW w:w="1020" w:type="dxa"/>
            <w:tcBorders>
              <w:top w:val="nil"/>
              <w:left w:val="nil"/>
              <w:bottom w:val="single" w:sz="4" w:space="0" w:color="auto"/>
              <w:right w:val="single" w:sz="4" w:space="0" w:color="auto"/>
            </w:tcBorders>
            <w:shd w:val="clear" w:color="auto" w:fill="auto"/>
            <w:noWrap/>
            <w:vAlign w:val="center"/>
            <w:hideMark/>
          </w:tcPr>
          <w:p w14:paraId="6A6C8A33"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60FEB053" w14:textId="073BDA39"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25BF4C47" w14:textId="1E2F6911"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2D76227B"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C68889F"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514E3F09"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мазут</w:t>
            </w:r>
          </w:p>
        </w:tc>
        <w:tc>
          <w:tcPr>
            <w:tcW w:w="1020" w:type="dxa"/>
            <w:tcBorders>
              <w:top w:val="nil"/>
              <w:left w:val="nil"/>
              <w:bottom w:val="single" w:sz="4" w:space="0" w:color="auto"/>
              <w:right w:val="single" w:sz="4" w:space="0" w:color="auto"/>
            </w:tcBorders>
            <w:shd w:val="clear" w:color="auto" w:fill="auto"/>
            <w:noWrap/>
            <w:vAlign w:val="center"/>
            <w:hideMark/>
          </w:tcPr>
          <w:p w14:paraId="41D51F1A"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2816F254" w14:textId="1BDE7909"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135B37BE" w14:textId="40D6092A"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6B869965"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81593D7"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5ED559B3"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природен газ /метан/</w:t>
            </w:r>
          </w:p>
        </w:tc>
        <w:tc>
          <w:tcPr>
            <w:tcW w:w="1020" w:type="dxa"/>
            <w:tcBorders>
              <w:top w:val="nil"/>
              <w:left w:val="nil"/>
              <w:bottom w:val="single" w:sz="4" w:space="0" w:color="auto"/>
              <w:right w:val="single" w:sz="4" w:space="0" w:color="auto"/>
            </w:tcBorders>
            <w:shd w:val="clear" w:color="auto" w:fill="auto"/>
            <w:noWrap/>
            <w:vAlign w:val="center"/>
            <w:hideMark/>
          </w:tcPr>
          <w:p w14:paraId="39DF0384"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3B96B07A" w14:textId="6E2A6141"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1EFD03C7" w14:textId="6AE1E203"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5DAF57C5"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5B7A90F"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2</w:t>
            </w:r>
          </w:p>
        </w:tc>
        <w:tc>
          <w:tcPr>
            <w:tcW w:w="4160" w:type="dxa"/>
            <w:tcBorders>
              <w:top w:val="nil"/>
              <w:left w:val="nil"/>
              <w:bottom w:val="single" w:sz="4" w:space="0" w:color="auto"/>
              <w:right w:val="single" w:sz="4" w:space="0" w:color="auto"/>
            </w:tcBorders>
            <w:shd w:val="clear" w:color="auto" w:fill="auto"/>
            <w:noWrap/>
            <w:vAlign w:val="bottom"/>
            <w:hideMark/>
          </w:tcPr>
          <w:p w14:paraId="11DD778C" w14:textId="77777777" w:rsidR="00B6448A" w:rsidRPr="00B6448A" w:rsidRDefault="00B6448A" w:rsidP="00B6448A">
            <w:pPr>
              <w:spacing w:after="0" w:line="240" w:lineRule="auto"/>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 xml:space="preserve">Консумативи </w:t>
            </w:r>
          </w:p>
        </w:tc>
        <w:tc>
          <w:tcPr>
            <w:tcW w:w="1020" w:type="dxa"/>
            <w:tcBorders>
              <w:top w:val="nil"/>
              <w:left w:val="nil"/>
              <w:bottom w:val="single" w:sz="4" w:space="0" w:color="auto"/>
              <w:right w:val="single" w:sz="4" w:space="0" w:color="auto"/>
            </w:tcBorders>
            <w:shd w:val="clear" w:color="auto" w:fill="auto"/>
            <w:noWrap/>
            <w:vAlign w:val="center"/>
            <w:hideMark/>
          </w:tcPr>
          <w:p w14:paraId="783FFA31"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496E1CD1" w14:textId="76A8806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205450E0" w14:textId="3952DE3D"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p>
        </w:tc>
      </w:tr>
      <w:tr w:rsidR="00B6448A" w:rsidRPr="00B6448A" w14:paraId="544EB78F"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AC71BD3"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33833FC6"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xml:space="preserve">Варовик за </w:t>
            </w:r>
            <w:proofErr w:type="spellStart"/>
            <w:r w:rsidRPr="00B6448A">
              <w:rPr>
                <w:rFonts w:ascii="Times New Roman" w:eastAsia="Times New Roman" w:hAnsi="Times New Roman" w:cs="Times New Roman"/>
                <w:sz w:val="20"/>
                <w:szCs w:val="20"/>
                <w:lang w:eastAsia="bg-BG"/>
              </w:rPr>
              <w:t>сероочистващи</w:t>
            </w:r>
            <w:proofErr w:type="spellEnd"/>
            <w:r w:rsidRPr="00B6448A">
              <w:rPr>
                <w:rFonts w:ascii="Times New Roman" w:eastAsia="Times New Roman" w:hAnsi="Times New Roman" w:cs="Times New Roman"/>
                <w:sz w:val="20"/>
                <w:szCs w:val="20"/>
                <w:lang w:eastAsia="bg-BG"/>
              </w:rPr>
              <w:t xml:space="preserve"> инсталации (СОИ)</w:t>
            </w:r>
          </w:p>
        </w:tc>
        <w:tc>
          <w:tcPr>
            <w:tcW w:w="1020" w:type="dxa"/>
            <w:tcBorders>
              <w:top w:val="nil"/>
              <w:left w:val="nil"/>
              <w:bottom w:val="single" w:sz="4" w:space="0" w:color="auto"/>
              <w:right w:val="single" w:sz="4" w:space="0" w:color="auto"/>
            </w:tcBorders>
            <w:shd w:val="clear" w:color="auto" w:fill="auto"/>
            <w:noWrap/>
            <w:vAlign w:val="center"/>
            <w:hideMark/>
          </w:tcPr>
          <w:p w14:paraId="4D326BC4"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225D1A11" w14:textId="3B249683"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68BDCC2D" w14:textId="05AEFCF4"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6018084A"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AE4C14A"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64D813A4"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xml:space="preserve">Химически реагенти за </w:t>
            </w:r>
            <w:proofErr w:type="spellStart"/>
            <w:r w:rsidRPr="00B6448A">
              <w:rPr>
                <w:rFonts w:ascii="Times New Roman" w:eastAsia="Times New Roman" w:hAnsi="Times New Roman" w:cs="Times New Roman"/>
                <w:sz w:val="20"/>
                <w:szCs w:val="20"/>
                <w:lang w:eastAsia="bg-BG"/>
              </w:rPr>
              <w:t>водоочистка</w:t>
            </w:r>
            <w:proofErr w:type="spellEnd"/>
          </w:p>
        </w:tc>
        <w:tc>
          <w:tcPr>
            <w:tcW w:w="1020" w:type="dxa"/>
            <w:tcBorders>
              <w:top w:val="nil"/>
              <w:left w:val="nil"/>
              <w:bottom w:val="single" w:sz="4" w:space="0" w:color="auto"/>
              <w:right w:val="single" w:sz="4" w:space="0" w:color="auto"/>
            </w:tcBorders>
            <w:shd w:val="clear" w:color="auto" w:fill="auto"/>
            <w:noWrap/>
            <w:vAlign w:val="center"/>
            <w:hideMark/>
          </w:tcPr>
          <w:p w14:paraId="507659D0"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6760553B" w14:textId="252ADC8E"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75B29C03" w14:textId="785C0B19"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13AF973B"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502D9A0"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29638154"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Смазочни материали</w:t>
            </w:r>
          </w:p>
        </w:tc>
        <w:tc>
          <w:tcPr>
            <w:tcW w:w="1020" w:type="dxa"/>
            <w:tcBorders>
              <w:top w:val="nil"/>
              <w:left w:val="nil"/>
              <w:bottom w:val="single" w:sz="4" w:space="0" w:color="auto"/>
              <w:right w:val="single" w:sz="4" w:space="0" w:color="auto"/>
            </w:tcBorders>
            <w:shd w:val="clear" w:color="auto" w:fill="auto"/>
            <w:noWrap/>
            <w:vAlign w:val="center"/>
            <w:hideMark/>
          </w:tcPr>
          <w:p w14:paraId="696541D0"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6C9AC1A5" w14:textId="7E22C446"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0803C52A" w14:textId="16D0BDEC"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4D8AC0EC"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2496409"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3</w:t>
            </w:r>
          </w:p>
        </w:tc>
        <w:tc>
          <w:tcPr>
            <w:tcW w:w="4160" w:type="dxa"/>
            <w:tcBorders>
              <w:top w:val="nil"/>
              <w:left w:val="nil"/>
              <w:bottom w:val="single" w:sz="4" w:space="0" w:color="auto"/>
              <w:right w:val="single" w:sz="4" w:space="0" w:color="auto"/>
            </w:tcBorders>
            <w:shd w:val="clear" w:color="auto" w:fill="auto"/>
            <w:noWrap/>
            <w:vAlign w:val="bottom"/>
            <w:hideMark/>
          </w:tcPr>
          <w:p w14:paraId="648F908C" w14:textId="77777777" w:rsidR="00B6448A" w:rsidRPr="00B6448A" w:rsidRDefault="00B6448A" w:rsidP="00B6448A">
            <w:pPr>
              <w:spacing w:after="0" w:line="240" w:lineRule="auto"/>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Други променливи разходи</w:t>
            </w:r>
          </w:p>
        </w:tc>
        <w:tc>
          <w:tcPr>
            <w:tcW w:w="1020" w:type="dxa"/>
            <w:tcBorders>
              <w:top w:val="nil"/>
              <w:left w:val="nil"/>
              <w:bottom w:val="single" w:sz="4" w:space="0" w:color="auto"/>
              <w:right w:val="single" w:sz="4" w:space="0" w:color="auto"/>
            </w:tcBorders>
            <w:shd w:val="clear" w:color="auto" w:fill="auto"/>
            <w:noWrap/>
            <w:vAlign w:val="center"/>
            <w:hideMark/>
          </w:tcPr>
          <w:p w14:paraId="72A93E8C" w14:textId="77777777"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r w:rsidRPr="00B6448A">
              <w:rPr>
                <w:rFonts w:ascii="Times New Roman" w:eastAsia="Times New Roman" w:hAnsi="Times New Roman" w:cs="Times New Roman"/>
                <w:b/>
                <w:bCs/>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61D16C14" w14:textId="6112D063" w:rsidR="00B6448A" w:rsidRPr="00B6448A" w:rsidRDefault="00B6448A" w:rsidP="00B6448A">
            <w:pPr>
              <w:spacing w:after="0" w:line="240" w:lineRule="auto"/>
              <w:jc w:val="center"/>
              <w:rPr>
                <w:rFonts w:ascii="Times New Roman" w:eastAsia="Times New Roman" w:hAnsi="Times New Roman" w:cs="Times New Roman"/>
                <w:b/>
                <w:bCs/>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3A2C38C5" w14:textId="05431403" w:rsidR="00B6448A" w:rsidRPr="00B6448A" w:rsidRDefault="00B6448A" w:rsidP="00193A4A">
            <w:pPr>
              <w:spacing w:after="0" w:line="240" w:lineRule="auto"/>
              <w:jc w:val="center"/>
              <w:rPr>
                <w:rFonts w:ascii="Times New Roman" w:eastAsia="Times New Roman" w:hAnsi="Times New Roman" w:cs="Times New Roman"/>
                <w:b/>
                <w:bCs/>
                <w:sz w:val="20"/>
                <w:szCs w:val="20"/>
                <w:lang w:eastAsia="bg-BG"/>
              </w:rPr>
            </w:pPr>
          </w:p>
        </w:tc>
      </w:tr>
      <w:tr w:rsidR="00B6448A" w:rsidRPr="00B6448A" w14:paraId="2BB6C505"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F17F207"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34ACDDA5"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xml:space="preserve">Услуга </w:t>
            </w:r>
            <w:proofErr w:type="spellStart"/>
            <w:r w:rsidRPr="00B6448A">
              <w:rPr>
                <w:rFonts w:ascii="Times New Roman" w:eastAsia="Times New Roman" w:hAnsi="Times New Roman" w:cs="Times New Roman"/>
                <w:sz w:val="20"/>
                <w:szCs w:val="20"/>
                <w:lang w:eastAsia="bg-BG"/>
              </w:rPr>
              <w:t>водоподаване</w:t>
            </w:r>
            <w:proofErr w:type="spellEnd"/>
            <w:r w:rsidRPr="00B6448A">
              <w:rPr>
                <w:rFonts w:ascii="Times New Roman" w:eastAsia="Times New Roman" w:hAnsi="Times New Roman" w:cs="Times New Roman"/>
                <w:sz w:val="20"/>
                <w:szCs w:val="20"/>
                <w:lang w:eastAsia="bg-BG"/>
              </w:rPr>
              <w:t xml:space="preserve"> </w:t>
            </w:r>
            <w:proofErr w:type="spellStart"/>
            <w:r w:rsidRPr="00B6448A">
              <w:rPr>
                <w:rFonts w:ascii="Times New Roman" w:eastAsia="Times New Roman" w:hAnsi="Times New Roman" w:cs="Times New Roman"/>
                <w:sz w:val="20"/>
                <w:szCs w:val="20"/>
                <w:lang w:eastAsia="bg-BG"/>
              </w:rPr>
              <w:t>Басейнова</w:t>
            </w:r>
            <w:proofErr w:type="spellEnd"/>
            <w:r w:rsidRPr="00B6448A">
              <w:rPr>
                <w:rFonts w:ascii="Times New Roman" w:eastAsia="Times New Roman" w:hAnsi="Times New Roman" w:cs="Times New Roman"/>
                <w:sz w:val="20"/>
                <w:szCs w:val="20"/>
                <w:lang w:eastAsia="bg-BG"/>
              </w:rPr>
              <w:t xml:space="preserve"> дирекция</w:t>
            </w:r>
          </w:p>
        </w:tc>
        <w:tc>
          <w:tcPr>
            <w:tcW w:w="1020" w:type="dxa"/>
            <w:tcBorders>
              <w:top w:val="nil"/>
              <w:left w:val="nil"/>
              <w:bottom w:val="single" w:sz="4" w:space="0" w:color="auto"/>
              <w:right w:val="single" w:sz="4" w:space="0" w:color="auto"/>
            </w:tcBorders>
            <w:shd w:val="clear" w:color="auto" w:fill="auto"/>
            <w:noWrap/>
            <w:vAlign w:val="center"/>
            <w:hideMark/>
          </w:tcPr>
          <w:p w14:paraId="66BFDA61"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6929BA77" w14:textId="79635D4D"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00E35168" w14:textId="73FF453C"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5D720653"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B11A2D"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2E45E8A8"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Разходи енергия производствени нужди</w:t>
            </w:r>
          </w:p>
        </w:tc>
        <w:tc>
          <w:tcPr>
            <w:tcW w:w="1020" w:type="dxa"/>
            <w:tcBorders>
              <w:top w:val="nil"/>
              <w:left w:val="nil"/>
              <w:bottom w:val="single" w:sz="4" w:space="0" w:color="auto"/>
              <w:right w:val="single" w:sz="4" w:space="0" w:color="auto"/>
            </w:tcBorders>
            <w:shd w:val="clear" w:color="auto" w:fill="auto"/>
            <w:noWrap/>
            <w:vAlign w:val="center"/>
            <w:hideMark/>
          </w:tcPr>
          <w:p w14:paraId="4AFB4EFB"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2611E27E" w14:textId="23100F2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172ABBC4" w14:textId="3A22047D"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470B6C04"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A6979DD"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3B74F9B6"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xml:space="preserve">Разходи покупка </w:t>
            </w:r>
            <w:proofErr w:type="spellStart"/>
            <w:r w:rsidRPr="00B6448A">
              <w:rPr>
                <w:rFonts w:ascii="Times New Roman" w:eastAsia="Times New Roman" w:hAnsi="Times New Roman" w:cs="Times New Roman"/>
                <w:sz w:val="20"/>
                <w:szCs w:val="20"/>
                <w:lang w:eastAsia="bg-BG"/>
              </w:rPr>
              <w:t>ел.енергия</w:t>
            </w:r>
            <w:proofErr w:type="spellEnd"/>
            <w:r w:rsidRPr="00B6448A">
              <w:rPr>
                <w:rFonts w:ascii="Times New Roman" w:eastAsia="Times New Roman" w:hAnsi="Times New Roman" w:cs="Times New Roman"/>
                <w:sz w:val="20"/>
                <w:szCs w:val="20"/>
                <w:lang w:eastAsia="bg-BG"/>
              </w:rPr>
              <w:t xml:space="preserve"> свободен пазар</w:t>
            </w:r>
          </w:p>
        </w:tc>
        <w:tc>
          <w:tcPr>
            <w:tcW w:w="1020" w:type="dxa"/>
            <w:tcBorders>
              <w:top w:val="nil"/>
              <w:left w:val="nil"/>
              <w:bottom w:val="single" w:sz="4" w:space="0" w:color="auto"/>
              <w:right w:val="single" w:sz="4" w:space="0" w:color="auto"/>
            </w:tcBorders>
            <w:shd w:val="clear" w:color="auto" w:fill="auto"/>
            <w:noWrap/>
            <w:vAlign w:val="center"/>
            <w:hideMark/>
          </w:tcPr>
          <w:p w14:paraId="119CA0A6"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40CBB880" w14:textId="4613078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6271E92E" w14:textId="631490E5"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453C2278"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C3BBB48"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3A8C8D3A"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Разходи за балансиращ пазар ЕСО</w:t>
            </w:r>
          </w:p>
        </w:tc>
        <w:tc>
          <w:tcPr>
            <w:tcW w:w="1020" w:type="dxa"/>
            <w:tcBorders>
              <w:top w:val="nil"/>
              <w:left w:val="nil"/>
              <w:bottom w:val="single" w:sz="4" w:space="0" w:color="auto"/>
              <w:right w:val="single" w:sz="4" w:space="0" w:color="auto"/>
            </w:tcBorders>
            <w:shd w:val="clear" w:color="auto" w:fill="auto"/>
            <w:noWrap/>
            <w:vAlign w:val="center"/>
            <w:hideMark/>
          </w:tcPr>
          <w:p w14:paraId="3D12BC44"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12CD6083" w14:textId="27078CA4"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6BFC32F7" w14:textId="67AB352F"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269662C5"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F032F6F"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283F86FF"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xml:space="preserve">Депониране на </w:t>
            </w:r>
            <w:proofErr w:type="spellStart"/>
            <w:r w:rsidRPr="00B6448A">
              <w:rPr>
                <w:rFonts w:ascii="Times New Roman" w:eastAsia="Times New Roman" w:hAnsi="Times New Roman" w:cs="Times New Roman"/>
                <w:sz w:val="20"/>
                <w:szCs w:val="20"/>
                <w:lang w:eastAsia="bg-BG"/>
              </w:rPr>
              <w:t>пепелина</w:t>
            </w:r>
            <w:proofErr w:type="spellEnd"/>
            <w:r w:rsidRPr="00B6448A">
              <w:rPr>
                <w:rFonts w:ascii="Times New Roman" w:eastAsia="Times New Roman" w:hAnsi="Times New Roman" w:cs="Times New Roman"/>
                <w:sz w:val="20"/>
                <w:szCs w:val="20"/>
                <w:lang w:eastAsia="bg-BG"/>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282ABE07"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0AC8E0C6" w14:textId="2E244276"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5763B151" w14:textId="40168268"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r>
      <w:tr w:rsidR="00B6448A" w:rsidRPr="00B6448A" w14:paraId="09ACFB66" w14:textId="77777777" w:rsidTr="00610788">
        <w:trPr>
          <w:trHeight w:val="24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257DA15"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 </w:t>
            </w:r>
          </w:p>
        </w:tc>
        <w:tc>
          <w:tcPr>
            <w:tcW w:w="4160" w:type="dxa"/>
            <w:tcBorders>
              <w:top w:val="nil"/>
              <w:left w:val="nil"/>
              <w:bottom w:val="single" w:sz="4" w:space="0" w:color="auto"/>
              <w:right w:val="single" w:sz="4" w:space="0" w:color="auto"/>
            </w:tcBorders>
            <w:shd w:val="clear" w:color="auto" w:fill="auto"/>
            <w:noWrap/>
            <w:vAlign w:val="bottom"/>
            <w:hideMark/>
          </w:tcPr>
          <w:p w14:paraId="2F565283" w14:textId="77777777" w:rsidR="00B6448A" w:rsidRPr="00B6448A" w:rsidRDefault="00B6448A" w:rsidP="00B6448A">
            <w:pPr>
              <w:spacing w:after="0" w:line="240" w:lineRule="auto"/>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Разходи за закупени емисии квоти СО2</w:t>
            </w:r>
          </w:p>
        </w:tc>
        <w:tc>
          <w:tcPr>
            <w:tcW w:w="1020" w:type="dxa"/>
            <w:tcBorders>
              <w:top w:val="nil"/>
              <w:left w:val="nil"/>
              <w:bottom w:val="single" w:sz="4" w:space="0" w:color="auto"/>
              <w:right w:val="single" w:sz="4" w:space="0" w:color="auto"/>
            </w:tcBorders>
            <w:shd w:val="clear" w:color="auto" w:fill="auto"/>
            <w:noWrap/>
            <w:vAlign w:val="center"/>
            <w:hideMark/>
          </w:tcPr>
          <w:p w14:paraId="1DA8413C" w14:textId="77777777"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r w:rsidRPr="00B6448A">
              <w:rPr>
                <w:rFonts w:ascii="Times New Roman" w:eastAsia="Times New Roman" w:hAnsi="Times New Roman" w:cs="Times New Roman"/>
                <w:sz w:val="20"/>
                <w:szCs w:val="20"/>
                <w:lang w:eastAsia="bg-BG"/>
              </w:rPr>
              <w:t>хил. лв.</w:t>
            </w:r>
          </w:p>
        </w:tc>
        <w:tc>
          <w:tcPr>
            <w:tcW w:w="1200" w:type="dxa"/>
            <w:tcBorders>
              <w:top w:val="nil"/>
              <w:left w:val="nil"/>
              <w:bottom w:val="single" w:sz="4" w:space="0" w:color="auto"/>
              <w:right w:val="single" w:sz="4" w:space="0" w:color="auto"/>
            </w:tcBorders>
            <w:shd w:val="clear" w:color="auto" w:fill="auto"/>
            <w:noWrap/>
            <w:vAlign w:val="center"/>
          </w:tcPr>
          <w:p w14:paraId="5ADB65E0" w14:textId="3A95ABF2" w:rsidR="00B6448A" w:rsidRPr="00B6448A" w:rsidRDefault="00B6448A" w:rsidP="00B6448A">
            <w:pPr>
              <w:spacing w:after="0" w:line="240" w:lineRule="auto"/>
              <w:jc w:val="center"/>
              <w:rPr>
                <w:rFonts w:ascii="Times New Roman" w:eastAsia="Times New Roman" w:hAnsi="Times New Roman" w:cs="Times New Roman"/>
                <w:sz w:val="20"/>
                <w:szCs w:val="20"/>
                <w:lang w:eastAsia="bg-BG"/>
              </w:rPr>
            </w:pPr>
          </w:p>
        </w:tc>
        <w:tc>
          <w:tcPr>
            <w:tcW w:w="1300" w:type="dxa"/>
            <w:tcBorders>
              <w:top w:val="nil"/>
              <w:left w:val="nil"/>
              <w:bottom w:val="single" w:sz="4" w:space="0" w:color="auto"/>
              <w:right w:val="single" w:sz="4" w:space="0" w:color="auto"/>
            </w:tcBorders>
            <w:shd w:val="clear" w:color="auto" w:fill="auto"/>
            <w:noWrap/>
            <w:vAlign w:val="center"/>
          </w:tcPr>
          <w:p w14:paraId="2DE01C5E" w14:textId="649CD6F2" w:rsidR="00B6448A" w:rsidRPr="00B6448A" w:rsidRDefault="00B6448A" w:rsidP="00193A4A">
            <w:pPr>
              <w:spacing w:after="0" w:line="240" w:lineRule="auto"/>
              <w:jc w:val="center"/>
              <w:rPr>
                <w:rFonts w:ascii="Times New Roman" w:eastAsia="Times New Roman" w:hAnsi="Times New Roman" w:cs="Times New Roman"/>
                <w:sz w:val="20"/>
                <w:szCs w:val="20"/>
                <w:lang w:eastAsia="bg-BG"/>
              </w:rPr>
            </w:pPr>
          </w:p>
        </w:tc>
      </w:tr>
    </w:tbl>
    <w:p w14:paraId="02D95687" w14:textId="2287BC75" w:rsidR="00117FFE" w:rsidRPr="009F1C0A" w:rsidRDefault="00B6448A" w:rsidP="009F1C0A">
      <w:pPr>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fldChar w:fldCharType="end"/>
      </w:r>
    </w:p>
    <w:p w14:paraId="66D91F7B" w14:textId="659B520C" w:rsidR="000C336E" w:rsidRPr="000C336E" w:rsidRDefault="000C336E" w:rsidP="001365A2">
      <w:pPr>
        <w:spacing w:after="120" w:line="240" w:lineRule="auto"/>
        <w:jc w:val="both"/>
        <w:rPr>
          <w:rFonts w:ascii="Times New Roman" w:eastAsia="Calibri" w:hAnsi="Times New Roman" w:cs="Times New Roman"/>
          <w:sz w:val="24"/>
          <w:szCs w:val="24"/>
        </w:rPr>
      </w:pPr>
      <w:r w:rsidRPr="000C336E">
        <w:rPr>
          <w:rFonts w:ascii="Times New Roman" w:eastAsia="Calibri" w:hAnsi="Times New Roman" w:cs="Times New Roman"/>
          <w:sz w:val="24"/>
          <w:szCs w:val="24"/>
        </w:rPr>
        <w:t>Производствената програма на „ТЕЦ Марица изток 2“ ЕАД за новия ценови пери</w:t>
      </w:r>
      <w:r w:rsidR="00B6448A">
        <w:rPr>
          <w:rFonts w:ascii="Times New Roman" w:eastAsia="Calibri" w:hAnsi="Times New Roman" w:cs="Times New Roman"/>
          <w:sz w:val="24"/>
          <w:szCs w:val="24"/>
        </w:rPr>
        <w:t xml:space="preserve">од предвижда производството на </w:t>
      </w:r>
      <w:r w:rsidR="00EC6894">
        <w:rPr>
          <w:rFonts w:ascii="Times New Roman" w:eastAsia="Calibri" w:hAnsi="Times New Roman" w:cs="Times New Roman"/>
          <w:sz w:val="24"/>
          <w:szCs w:val="24"/>
        </w:rPr>
        <w:t>………………</w:t>
      </w:r>
      <w:r w:rsidRPr="000C336E">
        <w:rPr>
          <w:rFonts w:ascii="Times New Roman" w:eastAsia="Calibri" w:hAnsi="Times New Roman" w:cs="Times New Roman"/>
          <w:sz w:val="24"/>
          <w:szCs w:val="24"/>
        </w:rPr>
        <w:t xml:space="preserve"> </w:t>
      </w:r>
      <w:proofErr w:type="spellStart"/>
      <w:r w:rsidRPr="000C336E">
        <w:rPr>
          <w:rFonts w:ascii="Times New Roman" w:eastAsia="Calibri" w:hAnsi="Times New Roman" w:cs="Times New Roman"/>
          <w:sz w:val="24"/>
          <w:szCs w:val="24"/>
        </w:rPr>
        <w:t>МВтч</w:t>
      </w:r>
      <w:proofErr w:type="spellEnd"/>
      <w:r w:rsidRPr="000C336E">
        <w:rPr>
          <w:rFonts w:ascii="Times New Roman" w:eastAsia="Calibri" w:hAnsi="Times New Roman" w:cs="Times New Roman"/>
          <w:sz w:val="24"/>
          <w:szCs w:val="24"/>
        </w:rPr>
        <w:t xml:space="preserve"> нетна електрическа енергия. </w:t>
      </w:r>
      <w:r w:rsidRPr="001365A2">
        <w:rPr>
          <w:rFonts w:ascii="Times New Roman" w:eastAsia="Calibri" w:hAnsi="Times New Roman" w:cs="Times New Roman"/>
          <w:b/>
          <w:bCs/>
          <w:sz w:val="24"/>
          <w:szCs w:val="24"/>
        </w:rPr>
        <w:t xml:space="preserve">Общата стойност на променливите разходи, които дружеството предявява пред КЕВР възлиза на </w:t>
      </w:r>
      <w:r w:rsidR="00EC6894">
        <w:rPr>
          <w:rFonts w:ascii="Times New Roman" w:eastAsia="Calibri" w:hAnsi="Times New Roman" w:cs="Times New Roman"/>
          <w:b/>
          <w:bCs/>
          <w:sz w:val="24"/>
          <w:szCs w:val="24"/>
        </w:rPr>
        <w:t>……………</w:t>
      </w:r>
      <w:r w:rsidRPr="00323764">
        <w:rPr>
          <w:rFonts w:ascii="Times New Roman" w:eastAsia="Calibri" w:hAnsi="Times New Roman" w:cs="Times New Roman"/>
          <w:b/>
          <w:bCs/>
          <w:sz w:val="24"/>
          <w:szCs w:val="24"/>
        </w:rPr>
        <w:t xml:space="preserve"> хил. лв</w:t>
      </w:r>
      <w:r w:rsidRPr="000C336E">
        <w:rPr>
          <w:rFonts w:ascii="Times New Roman" w:eastAsia="Calibri" w:hAnsi="Times New Roman" w:cs="Times New Roman"/>
          <w:sz w:val="24"/>
          <w:szCs w:val="24"/>
        </w:rPr>
        <w:t xml:space="preserve">., като тук се включват горива за производство: </w:t>
      </w:r>
      <w:r w:rsidRPr="000C336E">
        <w:rPr>
          <w:rFonts w:ascii="Times New Roman" w:eastAsia="Calibri" w:hAnsi="Times New Roman" w:cs="Times New Roman"/>
          <w:b/>
          <w:sz w:val="24"/>
          <w:szCs w:val="24"/>
        </w:rPr>
        <w:t>местни въглища от „Мини Марица изток“ ЕАД</w:t>
      </w:r>
      <w:r w:rsidRPr="000C336E">
        <w:rPr>
          <w:rFonts w:ascii="Times New Roman" w:eastAsia="Calibri" w:hAnsi="Times New Roman" w:cs="Times New Roman"/>
          <w:sz w:val="24"/>
          <w:szCs w:val="24"/>
        </w:rPr>
        <w:t xml:space="preserve">, котелно гориво (мазут), природен газ, разходи за СО2 квоти , консумативи: варовик, химически реагенти и смазочни материали, други променливи разходи: услуга </w:t>
      </w:r>
      <w:proofErr w:type="spellStart"/>
      <w:r w:rsidRPr="000C336E">
        <w:rPr>
          <w:rFonts w:ascii="Times New Roman" w:eastAsia="Calibri" w:hAnsi="Times New Roman" w:cs="Times New Roman"/>
          <w:sz w:val="24"/>
          <w:szCs w:val="24"/>
        </w:rPr>
        <w:t>водоподаване</w:t>
      </w:r>
      <w:proofErr w:type="spellEnd"/>
      <w:r w:rsidRPr="000C336E">
        <w:rPr>
          <w:rFonts w:ascii="Times New Roman" w:eastAsia="Calibri" w:hAnsi="Times New Roman" w:cs="Times New Roman"/>
          <w:sz w:val="24"/>
          <w:szCs w:val="24"/>
        </w:rPr>
        <w:t xml:space="preserve">, енергия за собствени нужди, депониране на </w:t>
      </w:r>
      <w:proofErr w:type="spellStart"/>
      <w:r w:rsidRPr="000C336E">
        <w:rPr>
          <w:rFonts w:ascii="Times New Roman" w:eastAsia="Calibri" w:hAnsi="Times New Roman" w:cs="Times New Roman"/>
          <w:sz w:val="24"/>
          <w:szCs w:val="24"/>
        </w:rPr>
        <w:t>пепелина</w:t>
      </w:r>
      <w:proofErr w:type="spellEnd"/>
      <w:r w:rsidRPr="000C336E">
        <w:rPr>
          <w:rFonts w:ascii="Times New Roman" w:eastAsia="Calibri" w:hAnsi="Times New Roman" w:cs="Times New Roman"/>
          <w:sz w:val="24"/>
          <w:szCs w:val="24"/>
        </w:rPr>
        <w:t>. Допълнителната информация за отделните групи променливи разходи, е както следва:</w:t>
      </w:r>
    </w:p>
    <w:p w14:paraId="3299927F" w14:textId="12A7913F" w:rsidR="000C336E" w:rsidRPr="00B6448A" w:rsidRDefault="000C336E" w:rsidP="001365A2">
      <w:pPr>
        <w:numPr>
          <w:ilvl w:val="0"/>
          <w:numId w:val="4"/>
        </w:numPr>
        <w:spacing w:after="120" w:line="240" w:lineRule="auto"/>
        <w:ind w:left="0" w:firstLine="0"/>
        <w:jc w:val="both"/>
        <w:rPr>
          <w:rFonts w:ascii="Times New Roman" w:eastAsia="Calibri" w:hAnsi="Times New Roman" w:cs="Times New Roman"/>
          <w:bCs/>
          <w:sz w:val="24"/>
          <w:szCs w:val="24"/>
        </w:rPr>
      </w:pPr>
      <w:r w:rsidRPr="000C336E">
        <w:rPr>
          <w:rFonts w:ascii="Times New Roman" w:eastAsia="Calibri" w:hAnsi="Times New Roman" w:cs="Times New Roman"/>
          <w:bCs/>
          <w:sz w:val="24"/>
          <w:szCs w:val="24"/>
        </w:rPr>
        <w:t xml:space="preserve">Основното гориво, използвано в “ТЕЦ Марица изток 2” ЕАД, са въглища </w:t>
      </w:r>
      <w:r w:rsidRPr="000C336E">
        <w:rPr>
          <w:rFonts w:ascii="Times New Roman" w:eastAsia="Times New Roman" w:hAnsi="Times New Roman" w:cs="Times New Roman"/>
          <w:sz w:val="24"/>
          <w:szCs w:val="24"/>
          <w:lang w:val="ru-RU" w:eastAsia="bg-BG"/>
        </w:rPr>
        <w:t>добивани от „Мини Марица изток” ЕАД в Източномаришкия енергиен комплекс, които се характеризират от една страна с високо сярно и пепелно съдържание и влажност, а от друга и с много ниска калоричност.</w:t>
      </w:r>
      <w:r w:rsidR="00B6448A">
        <w:rPr>
          <w:rFonts w:ascii="Times New Roman" w:eastAsia="Calibri" w:hAnsi="Times New Roman" w:cs="Times New Roman"/>
          <w:bCs/>
          <w:sz w:val="24"/>
          <w:szCs w:val="24"/>
        </w:rPr>
        <w:t xml:space="preserve"> </w:t>
      </w:r>
      <w:r w:rsidRPr="00B6448A">
        <w:rPr>
          <w:rFonts w:ascii="Times New Roman" w:eastAsia="Calibri" w:hAnsi="Times New Roman" w:cs="Times New Roman"/>
          <w:bCs/>
          <w:sz w:val="24"/>
          <w:szCs w:val="24"/>
        </w:rPr>
        <w:t xml:space="preserve">Общата стойност на планираните разходи за въглища възлиза на </w:t>
      </w:r>
      <w:r w:rsidR="00EC6894">
        <w:rPr>
          <w:rFonts w:ascii="Times New Roman" w:eastAsia="Calibri" w:hAnsi="Times New Roman" w:cs="Times New Roman"/>
          <w:b/>
          <w:bCs/>
          <w:sz w:val="24"/>
          <w:szCs w:val="24"/>
        </w:rPr>
        <w:t>…………….</w:t>
      </w:r>
      <w:r w:rsidRPr="00B6448A">
        <w:rPr>
          <w:rFonts w:ascii="Times New Roman" w:eastAsia="Calibri" w:hAnsi="Times New Roman" w:cs="Times New Roman"/>
          <w:b/>
          <w:bCs/>
          <w:sz w:val="24"/>
          <w:szCs w:val="24"/>
        </w:rPr>
        <w:t xml:space="preserve"> хил.</w:t>
      </w:r>
      <w:r w:rsidR="00B6448A">
        <w:rPr>
          <w:rFonts w:ascii="Times New Roman" w:eastAsia="Calibri" w:hAnsi="Times New Roman" w:cs="Times New Roman"/>
          <w:b/>
          <w:bCs/>
          <w:sz w:val="24"/>
          <w:szCs w:val="24"/>
        </w:rPr>
        <w:t xml:space="preserve"> </w:t>
      </w:r>
      <w:r w:rsidRPr="00B6448A">
        <w:rPr>
          <w:rFonts w:ascii="Times New Roman" w:eastAsia="Calibri" w:hAnsi="Times New Roman" w:cs="Times New Roman"/>
          <w:b/>
          <w:bCs/>
          <w:sz w:val="24"/>
          <w:szCs w:val="24"/>
        </w:rPr>
        <w:t>лв</w:t>
      </w:r>
      <w:r w:rsidRPr="00B6448A">
        <w:rPr>
          <w:rFonts w:ascii="Times New Roman" w:eastAsia="Calibri" w:hAnsi="Times New Roman" w:cs="Times New Roman"/>
          <w:bCs/>
          <w:sz w:val="24"/>
          <w:szCs w:val="24"/>
        </w:rPr>
        <w:t>. при запазване на действащата цена от 77,00 лв./</w:t>
      </w:r>
      <w:proofErr w:type="spellStart"/>
      <w:r w:rsidRPr="00B6448A">
        <w:rPr>
          <w:rFonts w:ascii="Times New Roman" w:eastAsia="Calibri" w:hAnsi="Times New Roman" w:cs="Times New Roman"/>
          <w:bCs/>
          <w:sz w:val="24"/>
          <w:szCs w:val="24"/>
        </w:rPr>
        <w:t>тУГ</w:t>
      </w:r>
      <w:proofErr w:type="spellEnd"/>
      <w:r w:rsidRPr="00B6448A">
        <w:rPr>
          <w:rFonts w:ascii="Times New Roman" w:eastAsia="Calibri" w:hAnsi="Times New Roman" w:cs="Times New Roman"/>
          <w:bCs/>
          <w:sz w:val="24"/>
          <w:szCs w:val="24"/>
        </w:rPr>
        <w:t xml:space="preserve">. </w:t>
      </w:r>
    </w:p>
    <w:p w14:paraId="4895D054" w14:textId="7E947157" w:rsidR="000C336E" w:rsidRPr="00215740" w:rsidRDefault="000C336E" w:rsidP="001365A2">
      <w:pPr>
        <w:numPr>
          <w:ilvl w:val="0"/>
          <w:numId w:val="4"/>
        </w:numPr>
        <w:spacing w:after="120" w:line="240" w:lineRule="auto"/>
        <w:ind w:left="0" w:firstLine="0"/>
        <w:jc w:val="both"/>
        <w:rPr>
          <w:rFonts w:ascii="Times New Roman" w:eastAsia="Calibri" w:hAnsi="Times New Roman" w:cs="Times New Roman"/>
          <w:bCs/>
          <w:sz w:val="24"/>
          <w:szCs w:val="24"/>
        </w:rPr>
      </w:pPr>
      <w:r w:rsidRPr="00215740">
        <w:rPr>
          <w:rFonts w:ascii="Times New Roman" w:eastAsia="Calibri" w:hAnsi="Times New Roman" w:cs="Times New Roman"/>
          <w:bCs/>
          <w:sz w:val="24"/>
          <w:szCs w:val="24"/>
        </w:rPr>
        <w:t xml:space="preserve">Предвидените разходи за гориво за разпалване са на обща стойност </w:t>
      </w:r>
      <w:r w:rsidR="00EC6894">
        <w:rPr>
          <w:rFonts w:ascii="Times New Roman" w:eastAsia="Calibri" w:hAnsi="Times New Roman" w:cs="Times New Roman"/>
          <w:b/>
          <w:bCs/>
          <w:sz w:val="24"/>
          <w:szCs w:val="24"/>
        </w:rPr>
        <w:t>……….</w:t>
      </w:r>
      <w:r w:rsidRPr="00215740">
        <w:rPr>
          <w:rFonts w:ascii="Times New Roman" w:eastAsia="Calibri" w:hAnsi="Times New Roman" w:cs="Times New Roman"/>
          <w:b/>
          <w:bCs/>
          <w:sz w:val="24"/>
          <w:szCs w:val="24"/>
        </w:rPr>
        <w:t xml:space="preserve"> хил. лв.</w:t>
      </w:r>
      <w:r w:rsidRPr="00215740">
        <w:rPr>
          <w:rFonts w:ascii="Times New Roman" w:eastAsia="Calibri" w:hAnsi="Times New Roman" w:cs="Times New Roman"/>
          <w:bCs/>
          <w:sz w:val="24"/>
          <w:szCs w:val="24"/>
        </w:rPr>
        <w:t xml:space="preserve"> и включват разходи за мазут – </w:t>
      </w:r>
      <w:r w:rsidR="00EC6894">
        <w:rPr>
          <w:rFonts w:ascii="Times New Roman" w:eastAsia="Calibri" w:hAnsi="Times New Roman" w:cs="Times New Roman"/>
          <w:b/>
          <w:bCs/>
          <w:sz w:val="24"/>
          <w:szCs w:val="24"/>
        </w:rPr>
        <w:t>……….</w:t>
      </w:r>
      <w:r w:rsidR="00EC6894" w:rsidRPr="00215740">
        <w:rPr>
          <w:rFonts w:ascii="Times New Roman" w:eastAsia="Calibri" w:hAnsi="Times New Roman" w:cs="Times New Roman"/>
          <w:b/>
          <w:bCs/>
          <w:sz w:val="24"/>
          <w:szCs w:val="24"/>
        </w:rPr>
        <w:t xml:space="preserve"> </w:t>
      </w:r>
      <w:r w:rsidRPr="00215740">
        <w:rPr>
          <w:rFonts w:ascii="Times New Roman" w:eastAsia="Calibri" w:hAnsi="Times New Roman" w:cs="Times New Roman"/>
          <w:b/>
          <w:bCs/>
          <w:sz w:val="24"/>
          <w:szCs w:val="24"/>
        </w:rPr>
        <w:t>хил. лв</w:t>
      </w:r>
      <w:r w:rsidRPr="00215740">
        <w:rPr>
          <w:rFonts w:ascii="Times New Roman" w:eastAsia="Calibri" w:hAnsi="Times New Roman" w:cs="Times New Roman"/>
          <w:bCs/>
          <w:sz w:val="24"/>
          <w:szCs w:val="24"/>
        </w:rPr>
        <w:t xml:space="preserve">. и разходи за природен газ (метан) </w:t>
      </w:r>
      <w:r w:rsidR="00EC6894">
        <w:rPr>
          <w:rFonts w:ascii="Times New Roman" w:eastAsia="Calibri" w:hAnsi="Times New Roman" w:cs="Times New Roman"/>
          <w:b/>
          <w:bCs/>
          <w:sz w:val="24"/>
          <w:szCs w:val="24"/>
        </w:rPr>
        <w:lastRenderedPageBreak/>
        <w:t>…………</w:t>
      </w:r>
      <w:r w:rsidRPr="00215740">
        <w:rPr>
          <w:rFonts w:ascii="Times New Roman" w:eastAsia="Calibri" w:hAnsi="Times New Roman" w:cs="Times New Roman"/>
          <w:b/>
          <w:bCs/>
          <w:sz w:val="24"/>
          <w:szCs w:val="24"/>
        </w:rPr>
        <w:t xml:space="preserve"> хил. лв.</w:t>
      </w:r>
      <w:r w:rsidRPr="00215740">
        <w:rPr>
          <w:rFonts w:ascii="Times New Roman" w:eastAsia="Calibri" w:hAnsi="Times New Roman" w:cs="Times New Roman"/>
          <w:bCs/>
          <w:sz w:val="24"/>
          <w:szCs w:val="24"/>
        </w:rPr>
        <w:t xml:space="preserve"> Планираните разходи за природен газ са изчислени на база  цена </w:t>
      </w:r>
      <w:r w:rsidR="007962E3" w:rsidRPr="00215740">
        <w:rPr>
          <w:rFonts w:ascii="Times New Roman" w:eastAsia="Calibri" w:hAnsi="Times New Roman" w:cs="Times New Roman"/>
          <w:bCs/>
          <w:sz w:val="24"/>
          <w:szCs w:val="24"/>
        </w:rPr>
        <w:t xml:space="preserve">по приложена фактура </w:t>
      </w:r>
      <w:r w:rsidRPr="00215740">
        <w:rPr>
          <w:rFonts w:ascii="Times New Roman" w:eastAsia="Calibri" w:hAnsi="Times New Roman" w:cs="Times New Roman"/>
          <w:bCs/>
          <w:sz w:val="24"/>
          <w:szCs w:val="24"/>
        </w:rPr>
        <w:t>от регионалния доставчик „</w:t>
      </w:r>
      <w:proofErr w:type="spellStart"/>
      <w:r w:rsidRPr="00215740">
        <w:rPr>
          <w:rFonts w:ascii="Times New Roman" w:eastAsia="Calibri" w:hAnsi="Times New Roman" w:cs="Times New Roman"/>
          <w:bCs/>
          <w:sz w:val="24"/>
          <w:szCs w:val="24"/>
        </w:rPr>
        <w:t>Ситигаз</w:t>
      </w:r>
      <w:proofErr w:type="spellEnd"/>
      <w:r w:rsidRPr="00215740">
        <w:rPr>
          <w:rFonts w:ascii="Times New Roman" w:eastAsia="Calibri" w:hAnsi="Times New Roman" w:cs="Times New Roman"/>
          <w:bCs/>
          <w:sz w:val="24"/>
          <w:szCs w:val="24"/>
        </w:rPr>
        <w:t xml:space="preserve">“ за промишлени потребители,  и възлизаща на </w:t>
      </w:r>
      <w:r w:rsidR="007962E3" w:rsidRPr="00215740">
        <w:rPr>
          <w:rFonts w:ascii="Times New Roman" w:eastAsia="Calibri" w:hAnsi="Times New Roman" w:cs="Times New Roman"/>
          <w:bCs/>
          <w:sz w:val="24"/>
          <w:szCs w:val="24"/>
        </w:rPr>
        <w:t>578</w:t>
      </w:r>
      <w:r w:rsidRPr="00215740">
        <w:rPr>
          <w:rFonts w:ascii="Times New Roman" w:eastAsia="Calibri" w:hAnsi="Times New Roman" w:cs="Times New Roman"/>
          <w:bCs/>
          <w:sz w:val="24"/>
          <w:szCs w:val="24"/>
        </w:rPr>
        <w:t>,</w:t>
      </w:r>
      <w:r w:rsidR="007962E3" w:rsidRPr="00215740">
        <w:rPr>
          <w:rFonts w:ascii="Times New Roman" w:eastAsia="Calibri" w:hAnsi="Times New Roman" w:cs="Times New Roman"/>
          <w:bCs/>
          <w:sz w:val="24"/>
          <w:szCs w:val="24"/>
        </w:rPr>
        <w:t>55</w:t>
      </w:r>
      <w:r w:rsidRPr="00215740">
        <w:rPr>
          <w:rFonts w:ascii="Times New Roman" w:eastAsia="Calibri" w:hAnsi="Times New Roman" w:cs="Times New Roman"/>
          <w:bCs/>
          <w:sz w:val="24"/>
          <w:szCs w:val="24"/>
        </w:rPr>
        <w:t xml:space="preserve"> лв./х.нм3 с включена цена за пренос и прогнозна цена за достъп през газопреносната мрежа</w:t>
      </w:r>
      <w:r w:rsidR="007962E3" w:rsidRPr="00215740">
        <w:rPr>
          <w:rFonts w:ascii="Times New Roman" w:eastAsia="Calibri" w:hAnsi="Times New Roman" w:cs="Times New Roman"/>
          <w:bCs/>
          <w:sz w:val="24"/>
          <w:szCs w:val="24"/>
        </w:rPr>
        <w:t>.</w:t>
      </w:r>
      <w:r w:rsidRPr="00215740">
        <w:rPr>
          <w:rFonts w:ascii="Times New Roman" w:eastAsia="Calibri" w:hAnsi="Times New Roman" w:cs="Times New Roman"/>
          <w:bCs/>
          <w:sz w:val="24"/>
          <w:szCs w:val="24"/>
        </w:rPr>
        <w:t xml:space="preserve"> </w:t>
      </w:r>
    </w:p>
    <w:p w14:paraId="3665F737" w14:textId="7BD3765A" w:rsidR="000C336E" w:rsidRPr="00B5447C" w:rsidRDefault="000C336E" w:rsidP="001365A2">
      <w:pPr>
        <w:numPr>
          <w:ilvl w:val="0"/>
          <w:numId w:val="4"/>
        </w:numPr>
        <w:spacing w:after="120" w:line="240" w:lineRule="auto"/>
        <w:ind w:left="0" w:firstLine="0"/>
        <w:jc w:val="both"/>
        <w:rPr>
          <w:rFonts w:ascii="Times New Roman" w:eastAsia="Calibri" w:hAnsi="Times New Roman" w:cs="Times New Roman"/>
          <w:bCs/>
          <w:sz w:val="24"/>
          <w:szCs w:val="24"/>
        </w:rPr>
      </w:pPr>
      <w:r w:rsidRPr="00B5447C">
        <w:rPr>
          <w:rFonts w:ascii="Times New Roman" w:eastAsia="Calibri" w:hAnsi="Times New Roman" w:cs="Times New Roman"/>
          <w:bCs/>
          <w:sz w:val="24"/>
          <w:szCs w:val="24"/>
        </w:rPr>
        <w:t>П</w:t>
      </w:r>
      <w:r w:rsidRPr="00B5447C">
        <w:rPr>
          <w:rFonts w:ascii="Times New Roman" w:eastAsia="Times New Roman" w:hAnsi="Times New Roman" w:cs="Times New Roman"/>
          <w:sz w:val="24"/>
          <w:szCs w:val="24"/>
          <w:lang w:eastAsia="bg-BG"/>
        </w:rPr>
        <w:t>ри разходите за консумативи с най-голяма тежест са разходите за варовик формиран</w:t>
      </w:r>
      <w:r w:rsidR="00B5447C" w:rsidRPr="00B5447C">
        <w:rPr>
          <w:rFonts w:ascii="Times New Roman" w:eastAsia="Times New Roman" w:hAnsi="Times New Roman" w:cs="Times New Roman"/>
          <w:sz w:val="24"/>
          <w:szCs w:val="24"/>
          <w:lang w:eastAsia="bg-BG"/>
        </w:rPr>
        <w:t xml:space="preserve">и от количеството варовик </w:t>
      </w:r>
      <w:r w:rsidR="00EC6894">
        <w:rPr>
          <w:rFonts w:ascii="Times New Roman" w:eastAsia="Times New Roman" w:hAnsi="Times New Roman" w:cs="Times New Roman"/>
          <w:sz w:val="24"/>
          <w:szCs w:val="24"/>
          <w:lang w:eastAsia="bg-BG"/>
        </w:rPr>
        <w:t>………..</w:t>
      </w:r>
      <w:r w:rsidRPr="00B5447C">
        <w:rPr>
          <w:rFonts w:ascii="Times New Roman" w:eastAsia="Times New Roman" w:hAnsi="Times New Roman" w:cs="Times New Roman"/>
          <w:sz w:val="24"/>
          <w:szCs w:val="24"/>
          <w:lang w:eastAsia="bg-BG"/>
        </w:rPr>
        <w:t xml:space="preserve"> тона използвано за </w:t>
      </w:r>
      <w:proofErr w:type="spellStart"/>
      <w:r w:rsidRPr="00B5447C">
        <w:rPr>
          <w:rFonts w:ascii="Times New Roman" w:eastAsia="Times New Roman" w:hAnsi="Times New Roman" w:cs="Times New Roman"/>
          <w:sz w:val="24"/>
          <w:szCs w:val="24"/>
          <w:lang w:eastAsia="bg-BG"/>
        </w:rPr>
        <w:t>сероочистване</w:t>
      </w:r>
      <w:proofErr w:type="spellEnd"/>
      <w:r w:rsidRPr="00B5447C">
        <w:rPr>
          <w:rFonts w:ascii="Times New Roman" w:eastAsia="Times New Roman" w:hAnsi="Times New Roman" w:cs="Times New Roman"/>
          <w:sz w:val="24"/>
          <w:szCs w:val="24"/>
          <w:lang w:eastAsia="bg-BG"/>
        </w:rPr>
        <w:t xml:space="preserve"> на димните газове, като подписаните договори за доставка  са с действаща цена </w:t>
      </w:r>
      <w:r w:rsidR="00B5447C" w:rsidRPr="00B5447C">
        <w:rPr>
          <w:rFonts w:ascii="Times New Roman" w:eastAsia="Times New Roman" w:hAnsi="Times New Roman" w:cs="Times New Roman"/>
          <w:sz w:val="24"/>
          <w:szCs w:val="24"/>
          <w:lang w:eastAsia="bg-BG"/>
        </w:rPr>
        <w:t xml:space="preserve">за тон варовик в размер на </w:t>
      </w:r>
      <w:r w:rsidR="00EC6894">
        <w:rPr>
          <w:rFonts w:ascii="Times New Roman" w:eastAsia="Times New Roman" w:hAnsi="Times New Roman" w:cs="Times New Roman"/>
          <w:sz w:val="24"/>
          <w:szCs w:val="24"/>
          <w:lang w:eastAsia="bg-BG"/>
        </w:rPr>
        <w:t>………</w:t>
      </w:r>
      <w:r w:rsidRPr="00B5447C">
        <w:rPr>
          <w:rFonts w:ascii="Times New Roman" w:eastAsia="Times New Roman" w:hAnsi="Times New Roman" w:cs="Times New Roman"/>
          <w:sz w:val="24"/>
          <w:szCs w:val="24"/>
          <w:lang w:eastAsia="bg-BG"/>
        </w:rPr>
        <w:t xml:space="preserve"> лева/тон. </w:t>
      </w:r>
      <w:r w:rsidRPr="00B5447C">
        <w:rPr>
          <w:rFonts w:ascii="Times New Roman" w:eastAsia="Calibri" w:hAnsi="Times New Roman" w:cs="Times New Roman"/>
          <w:bCs/>
          <w:sz w:val="24"/>
          <w:szCs w:val="24"/>
        </w:rPr>
        <w:t xml:space="preserve">Планираните разходи за варовик възлизат на </w:t>
      </w:r>
      <w:r w:rsidR="00EC6894">
        <w:rPr>
          <w:rFonts w:ascii="Times New Roman" w:eastAsia="Calibri" w:hAnsi="Times New Roman" w:cs="Times New Roman"/>
          <w:b/>
          <w:bCs/>
          <w:sz w:val="24"/>
          <w:szCs w:val="24"/>
        </w:rPr>
        <w:t>………………</w:t>
      </w:r>
      <w:r w:rsidRPr="00B5447C">
        <w:rPr>
          <w:rFonts w:ascii="Times New Roman" w:eastAsia="Calibri" w:hAnsi="Times New Roman" w:cs="Times New Roman"/>
          <w:b/>
          <w:bCs/>
          <w:sz w:val="24"/>
          <w:szCs w:val="24"/>
        </w:rPr>
        <w:t xml:space="preserve"> хил. лв</w:t>
      </w:r>
      <w:r w:rsidRPr="00B5447C">
        <w:rPr>
          <w:rFonts w:ascii="Times New Roman" w:eastAsia="Calibri" w:hAnsi="Times New Roman" w:cs="Times New Roman"/>
          <w:bCs/>
          <w:sz w:val="24"/>
          <w:szCs w:val="24"/>
        </w:rPr>
        <w:t xml:space="preserve">. </w:t>
      </w:r>
    </w:p>
    <w:p w14:paraId="00C9C483" w14:textId="77777777" w:rsidR="000C336E" w:rsidRDefault="000C336E" w:rsidP="001365A2">
      <w:pPr>
        <w:numPr>
          <w:ilvl w:val="0"/>
          <w:numId w:val="4"/>
        </w:numPr>
        <w:spacing w:after="120" w:line="240" w:lineRule="auto"/>
        <w:ind w:left="0" w:firstLine="0"/>
        <w:jc w:val="both"/>
        <w:rPr>
          <w:rFonts w:ascii="Times New Roman" w:eastAsia="Calibri" w:hAnsi="Times New Roman" w:cs="Times New Roman"/>
          <w:bCs/>
          <w:sz w:val="24"/>
          <w:szCs w:val="24"/>
        </w:rPr>
      </w:pPr>
      <w:r w:rsidRPr="00B90023">
        <w:rPr>
          <w:rFonts w:ascii="Times New Roman" w:eastAsia="Calibri" w:hAnsi="Times New Roman" w:cs="Times New Roman"/>
          <w:bCs/>
          <w:sz w:val="24"/>
          <w:szCs w:val="24"/>
        </w:rPr>
        <w:t xml:space="preserve">Разходите за </w:t>
      </w:r>
      <w:proofErr w:type="spellStart"/>
      <w:r w:rsidRPr="00B90023">
        <w:rPr>
          <w:rFonts w:ascii="Times New Roman" w:eastAsia="Calibri" w:hAnsi="Times New Roman" w:cs="Times New Roman"/>
          <w:bCs/>
          <w:sz w:val="24"/>
          <w:szCs w:val="24"/>
        </w:rPr>
        <w:t>водоползване</w:t>
      </w:r>
      <w:proofErr w:type="spellEnd"/>
      <w:r w:rsidRPr="00B90023">
        <w:rPr>
          <w:rFonts w:ascii="Times New Roman" w:eastAsia="Calibri" w:hAnsi="Times New Roman" w:cs="Times New Roman"/>
          <w:bCs/>
          <w:sz w:val="24"/>
          <w:szCs w:val="24"/>
        </w:rPr>
        <w:t xml:space="preserve"> се формират съгласно чл.10 (1) от Тарифата за таксите за </w:t>
      </w:r>
      <w:proofErr w:type="spellStart"/>
      <w:r w:rsidRPr="00B90023">
        <w:rPr>
          <w:rFonts w:ascii="Times New Roman" w:eastAsia="Calibri" w:hAnsi="Times New Roman" w:cs="Times New Roman"/>
          <w:bCs/>
          <w:sz w:val="24"/>
          <w:szCs w:val="24"/>
        </w:rPr>
        <w:t>водовземане</w:t>
      </w:r>
      <w:proofErr w:type="spellEnd"/>
      <w:r w:rsidRPr="00B90023">
        <w:rPr>
          <w:rFonts w:ascii="Times New Roman" w:eastAsia="Calibri" w:hAnsi="Times New Roman" w:cs="Times New Roman"/>
          <w:bCs/>
          <w:sz w:val="24"/>
          <w:szCs w:val="24"/>
        </w:rPr>
        <w:t>, за ползване на воден обект и Декларация по чл.194б от Закона за водите за изчисляване на дължимата такса по утвърден образец от Министъра на околната среда и водите за разрешено ползване на воден обект за 2018 г. на „ТЕЦ Марица изток 2“ ЕАД.</w:t>
      </w:r>
    </w:p>
    <w:p w14:paraId="729CB363" w14:textId="77777777" w:rsidR="00F67D59" w:rsidRDefault="00F67D59" w:rsidP="00F67D59">
      <w:pPr>
        <w:spacing w:after="120" w:line="240" w:lineRule="auto"/>
        <w:jc w:val="both"/>
        <w:rPr>
          <w:rFonts w:ascii="Times New Roman" w:eastAsia="Calibri" w:hAnsi="Times New Roman" w:cs="Times New Roman"/>
          <w:bCs/>
          <w:sz w:val="24"/>
          <w:szCs w:val="24"/>
        </w:rPr>
      </w:pPr>
    </w:p>
    <w:p w14:paraId="009AC9C4" w14:textId="77777777" w:rsidR="00F67D59" w:rsidRPr="00B90023" w:rsidRDefault="00F67D59" w:rsidP="00F67D59">
      <w:pPr>
        <w:spacing w:after="120" w:line="240" w:lineRule="auto"/>
        <w:jc w:val="both"/>
        <w:rPr>
          <w:rFonts w:ascii="Times New Roman" w:eastAsia="Calibri" w:hAnsi="Times New Roman" w:cs="Times New Roman"/>
          <w:bCs/>
          <w:sz w:val="24"/>
          <w:szCs w:val="24"/>
        </w:rPr>
      </w:pPr>
    </w:p>
    <w:p w14:paraId="57848CA9" w14:textId="77777777" w:rsidR="000C336E" w:rsidRPr="00B5447C" w:rsidRDefault="000C336E" w:rsidP="001365A2">
      <w:pPr>
        <w:numPr>
          <w:ilvl w:val="0"/>
          <w:numId w:val="4"/>
        </w:numPr>
        <w:spacing w:after="120" w:line="240" w:lineRule="auto"/>
        <w:ind w:left="0" w:firstLine="0"/>
        <w:jc w:val="both"/>
        <w:rPr>
          <w:rFonts w:ascii="Times New Roman" w:eastAsia="Calibri" w:hAnsi="Times New Roman" w:cs="Times New Roman"/>
          <w:b/>
          <w:bCs/>
          <w:sz w:val="24"/>
          <w:szCs w:val="24"/>
        </w:rPr>
      </w:pPr>
      <w:r w:rsidRPr="00B5447C">
        <w:rPr>
          <w:rFonts w:ascii="Times New Roman" w:eastAsia="Calibri" w:hAnsi="Times New Roman" w:cs="Times New Roman"/>
          <w:b/>
          <w:bCs/>
          <w:sz w:val="24"/>
          <w:szCs w:val="24"/>
        </w:rPr>
        <w:t>Разходи за квоти за парникови газове</w:t>
      </w:r>
    </w:p>
    <w:p w14:paraId="2BF89E70" w14:textId="629CD0A5" w:rsidR="000C336E" w:rsidRPr="00540F3A" w:rsidRDefault="000C336E" w:rsidP="001365A2">
      <w:pPr>
        <w:spacing w:after="120" w:line="240" w:lineRule="auto"/>
        <w:contextualSpacing/>
        <w:jc w:val="both"/>
        <w:rPr>
          <w:rFonts w:ascii="Times New Roman" w:eastAsia="Times New Roman" w:hAnsi="Times New Roman" w:cs="Times New Roman"/>
          <w:sz w:val="24"/>
          <w:szCs w:val="24"/>
          <w:lang w:val="ru-RU" w:eastAsia="bg-BG"/>
        </w:rPr>
      </w:pPr>
      <w:r w:rsidRPr="00540F3A">
        <w:rPr>
          <w:rFonts w:ascii="Times New Roman" w:eastAsia="Times New Roman" w:hAnsi="Times New Roman" w:cs="Times New Roman"/>
          <w:sz w:val="24"/>
          <w:szCs w:val="24"/>
          <w:lang w:val="ru-RU" w:eastAsia="bg-BG"/>
        </w:rPr>
        <w:t>Производственият процес е свързан с изгарянето на въглища</w:t>
      </w:r>
      <w:r w:rsidR="000F36FF" w:rsidRPr="00540F3A">
        <w:rPr>
          <w:rFonts w:ascii="Times New Roman" w:eastAsia="Times New Roman" w:hAnsi="Times New Roman" w:cs="Times New Roman"/>
          <w:sz w:val="24"/>
          <w:szCs w:val="24"/>
          <w:lang w:val="ru-RU" w:eastAsia="bg-BG"/>
        </w:rPr>
        <w:t>,</w:t>
      </w:r>
      <w:r w:rsidRPr="00540F3A">
        <w:rPr>
          <w:rFonts w:ascii="Times New Roman" w:eastAsia="Times New Roman" w:hAnsi="Times New Roman" w:cs="Times New Roman"/>
          <w:sz w:val="24"/>
          <w:szCs w:val="24"/>
          <w:lang w:val="ru-RU" w:eastAsia="bg-BG"/>
        </w:rPr>
        <w:t xml:space="preserve"> мазут</w:t>
      </w:r>
      <w:r w:rsidR="000F36FF" w:rsidRPr="00540F3A">
        <w:rPr>
          <w:rFonts w:ascii="Times New Roman" w:eastAsia="Times New Roman" w:hAnsi="Times New Roman" w:cs="Times New Roman"/>
          <w:sz w:val="24"/>
          <w:szCs w:val="24"/>
          <w:lang w:val="ru-RU" w:eastAsia="bg-BG"/>
        </w:rPr>
        <w:t xml:space="preserve"> и </w:t>
      </w:r>
      <w:r w:rsidR="00323764" w:rsidRPr="00540F3A">
        <w:rPr>
          <w:rFonts w:ascii="Times New Roman" w:eastAsia="Times New Roman" w:hAnsi="Times New Roman" w:cs="Times New Roman"/>
          <w:sz w:val="24"/>
          <w:szCs w:val="24"/>
          <w:lang w:val="ru-RU" w:eastAsia="bg-BG"/>
        </w:rPr>
        <w:t xml:space="preserve">природен </w:t>
      </w:r>
      <w:r w:rsidR="000F36FF" w:rsidRPr="00540F3A">
        <w:rPr>
          <w:rFonts w:ascii="Times New Roman" w:eastAsia="Times New Roman" w:hAnsi="Times New Roman" w:cs="Times New Roman"/>
          <w:sz w:val="24"/>
          <w:szCs w:val="24"/>
          <w:lang w:val="ru-RU" w:eastAsia="bg-BG"/>
        </w:rPr>
        <w:t>газ</w:t>
      </w:r>
      <w:r w:rsidRPr="00540F3A">
        <w:rPr>
          <w:rFonts w:ascii="Times New Roman" w:eastAsia="Times New Roman" w:hAnsi="Times New Roman" w:cs="Times New Roman"/>
          <w:sz w:val="24"/>
          <w:szCs w:val="24"/>
          <w:lang w:val="ru-RU" w:eastAsia="bg-BG"/>
        </w:rPr>
        <w:t>,</w:t>
      </w:r>
      <w:r w:rsidR="000F36FF" w:rsidRPr="00540F3A">
        <w:rPr>
          <w:rFonts w:ascii="Times New Roman" w:eastAsia="Times New Roman" w:hAnsi="Times New Roman" w:cs="Times New Roman"/>
          <w:sz w:val="24"/>
          <w:szCs w:val="24"/>
          <w:lang w:val="ru-RU" w:eastAsia="bg-BG"/>
        </w:rPr>
        <w:t xml:space="preserve"> както и </w:t>
      </w:r>
      <w:r w:rsidR="00323764" w:rsidRPr="00540F3A">
        <w:rPr>
          <w:rFonts w:ascii="Times New Roman" w:eastAsia="Times New Roman" w:hAnsi="Times New Roman" w:cs="Times New Roman"/>
          <w:sz w:val="24"/>
          <w:szCs w:val="24"/>
          <w:lang w:val="ru-RU" w:eastAsia="bg-BG"/>
        </w:rPr>
        <w:t xml:space="preserve">с процеси </w:t>
      </w:r>
      <w:r w:rsidR="000F36FF" w:rsidRPr="00540F3A">
        <w:rPr>
          <w:rFonts w:ascii="Times New Roman" w:eastAsia="Times New Roman" w:hAnsi="Times New Roman" w:cs="Times New Roman"/>
          <w:sz w:val="24"/>
          <w:szCs w:val="24"/>
          <w:lang w:val="ru-RU" w:eastAsia="bg-BG"/>
        </w:rPr>
        <w:t>на сероочистване,</w:t>
      </w:r>
      <w:r w:rsidRPr="00540F3A">
        <w:rPr>
          <w:rFonts w:ascii="Times New Roman" w:eastAsia="Times New Roman" w:hAnsi="Times New Roman" w:cs="Times New Roman"/>
          <w:sz w:val="24"/>
          <w:szCs w:val="24"/>
          <w:lang w:val="ru-RU" w:eastAsia="bg-BG"/>
        </w:rPr>
        <w:t xml:space="preserve"> в резултат на което в атмосферата се емитират парникови газове. Заради голямото количество изгаряни </w:t>
      </w:r>
      <w:r w:rsidR="000F36FF" w:rsidRPr="00540F3A">
        <w:rPr>
          <w:rFonts w:ascii="Times New Roman" w:eastAsia="Times New Roman" w:hAnsi="Times New Roman" w:cs="Times New Roman"/>
          <w:sz w:val="24"/>
          <w:szCs w:val="24"/>
          <w:lang w:val="ru-RU" w:eastAsia="bg-BG"/>
        </w:rPr>
        <w:t xml:space="preserve">изкопаеми горива </w:t>
      </w:r>
      <w:r w:rsidRPr="00540F3A">
        <w:rPr>
          <w:rFonts w:ascii="Times New Roman" w:eastAsia="Times New Roman" w:hAnsi="Times New Roman" w:cs="Times New Roman"/>
          <w:sz w:val="24"/>
          <w:szCs w:val="24"/>
          <w:lang w:val="ru-RU" w:eastAsia="bg-BG"/>
        </w:rPr>
        <w:t xml:space="preserve">централата отделя значителни количества парникови газове. </w:t>
      </w:r>
    </w:p>
    <w:p w14:paraId="352B2230" w14:textId="1CC73F8F" w:rsidR="00D30016" w:rsidRPr="00B90023" w:rsidRDefault="00323764" w:rsidP="001365A2">
      <w:pPr>
        <w:autoSpaceDE w:val="0"/>
        <w:autoSpaceDN w:val="0"/>
        <w:adjustRightInd w:val="0"/>
        <w:spacing w:after="12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През</w:t>
      </w:r>
      <w:r w:rsidR="00D30016" w:rsidRPr="00B90023">
        <w:rPr>
          <w:rFonts w:ascii="Times New Roman" w:hAnsi="Times New Roman" w:cs="Times New Roman"/>
          <w:bCs/>
          <w:sz w:val="24"/>
          <w:szCs w:val="24"/>
          <w:lang w:val="ru-RU"/>
        </w:rPr>
        <w:t xml:space="preserve"> 2020 г. Дружеството е </w:t>
      </w:r>
      <w:r>
        <w:rPr>
          <w:rFonts w:ascii="Times New Roman" w:hAnsi="Times New Roman" w:cs="Times New Roman"/>
          <w:bCs/>
          <w:sz w:val="24"/>
          <w:szCs w:val="24"/>
          <w:lang w:val="ru-RU"/>
        </w:rPr>
        <w:t xml:space="preserve">емитирало </w:t>
      </w:r>
      <w:r w:rsidR="00EC6894">
        <w:rPr>
          <w:rFonts w:ascii="Times New Roman" w:hAnsi="Times New Roman" w:cs="Times New Roman"/>
          <w:bCs/>
          <w:sz w:val="24"/>
          <w:szCs w:val="24"/>
          <w:lang w:val="ru-RU"/>
        </w:rPr>
        <w:t>………..</w:t>
      </w:r>
      <w:r w:rsidRPr="00323764">
        <w:rPr>
          <w:rFonts w:ascii="Times New Roman" w:hAnsi="Times New Roman" w:cs="Times New Roman"/>
          <w:bCs/>
          <w:sz w:val="24"/>
          <w:szCs w:val="24"/>
          <w:lang w:val="ru-RU"/>
        </w:rPr>
        <w:t xml:space="preserve"> t/CO2</w:t>
      </w:r>
      <w:r>
        <w:rPr>
          <w:rFonts w:ascii="Times New Roman" w:hAnsi="Times New Roman" w:cs="Times New Roman"/>
          <w:bCs/>
          <w:sz w:val="24"/>
          <w:szCs w:val="24"/>
          <w:lang w:val="ru-RU"/>
        </w:rPr>
        <w:t xml:space="preserve"> и </w:t>
      </w:r>
      <w:r w:rsidR="00D30016" w:rsidRPr="00B90023">
        <w:rPr>
          <w:rFonts w:ascii="Times New Roman" w:hAnsi="Times New Roman" w:cs="Times New Roman"/>
          <w:bCs/>
          <w:sz w:val="24"/>
          <w:szCs w:val="24"/>
          <w:lang w:val="ru-RU"/>
        </w:rPr>
        <w:t xml:space="preserve">отчело провизии за </w:t>
      </w:r>
      <w:r w:rsidR="00D30016" w:rsidRPr="00B90023">
        <w:rPr>
          <w:rFonts w:ascii="Times New Roman" w:hAnsi="Times New Roman" w:cs="Times New Roman"/>
          <w:sz w:val="24"/>
          <w:szCs w:val="24"/>
          <w:lang w:val="ru-RU"/>
        </w:rPr>
        <w:t>недостиг</w:t>
      </w:r>
      <w:r w:rsidR="00D30016" w:rsidRPr="00B90023">
        <w:rPr>
          <w:rFonts w:ascii="Times New Roman" w:hAnsi="Times New Roman" w:cs="Times New Roman"/>
          <w:bCs/>
          <w:sz w:val="24"/>
          <w:szCs w:val="24"/>
          <w:lang w:val="ru-RU"/>
        </w:rPr>
        <w:t xml:space="preserve"> на квоти за емисии на парникови газове в размер </w:t>
      </w:r>
      <w:r w:rsidR="00EC6894">
        <w:rPr>
          <w:rFonts w:ascii="Times New Roman" w:hAnsi="Times New Roman" w:cs="Times New Roman"/>
          <w:sz w:val="24"/>
          <w:szCs w:val="24"/>
        </w:rPr>
        <w:t>…………</w:t>
      </w:r>
      <w:r w:rsidR="00D30016" w:rsidRPr="00B90023">
        <w:rPr>
          <w:rFonts w:ascii="Times New Roman" w:hAnsi="Times New Roman" w:cs="Times New Roman"/>
          <w:sz w:val="24"/>
          <w:szCs w:val="24"/>
          <w:lang w:val="en-US"/>
        </w:rPr>
        <w:t> </w:t>
      </w:r>
      <w:r w:rsidR="00D30016" w:rsidRPr="00B90023">
        <w:rPr>
          <w:rFonts w:ascii="Times New Roman" w:hAnsi="Times New Roman" w:cs="Times New Roman"/>
          <w:sz w:val="24"/>
          <w:szCs w:val="24"/>
        </w:rPr>
        <w:t>хил.</w:t>
      </w:r>
      <w:r w:rsidR="00D30016" w:rsidRPr="00B90023">
        <w:rPr>
          <w:rFonts w:ascii="Times New Roman" w:hAnsi="Times New Roman" w:cs="Times New Roman"/>
          <w:sz w:val="24"/>
          <w:szCs w:val="24"/>
          <w:lang w:val="ru-RU"/>
        </w:rPr>
        <w:t xml:space="preserve"> лв</w:t>
      </w:r>
      <w:r w:rsidR="00D30016" w:rsidRPr="00B90023">
        <w:rPr>
          <w:rFonts w:ascii="Times New Roman" w:hAnsi="Times New Roman" w:cs="Times New Roman"/>
          <w:sz w:val="24"/>
          <w:szCs w:val="24"/>
        </w:rPr>
        <w:t>.</w:t>
      </w:r>
      <w:r w:rsidR="00D30016" w:rsidRPr="00B90023">
        <w:rPr>
          <w:rFonts w:ascii="Times New Roman" w:hAnsi="Times New Roman" w:cs="Times New Roman"/>
          <w:sz w:val="24"/>
          <w:szCs w:val="24"/>
          <w:lang w:val="ru-RU"/>
        </w:rPr>
        <w:t xml:space="preserve"> </w:t>
      </w:r>
      <w:r w:rsidR="00613D5D" w:rsidRPr="00610788">
        <w:rPr>
          <w:rFonts w:ascii="Times New Roman" w:hAnsi="Times New Roman" w:cs="Times New Roman"/>
          <w:sz w:val="24"/>
          <w:szCs w:val="24"/>
          <w:lang w:val="ru-RU"/>
        </w:rPr>
        <w:t>………………………………………………………………………………………………………………………………………………………………………………………………………………………………………………………………………………………………………………………………………………………………………………………………….</w:t>
      </w:r>
      <w:r w:rsidR="00D30016" w:rsidRPr="00610788">
        <w:rPr>
          <w:rFonts w:ascii="Times New Roman" w:hAnsi="Times New Roman" w:cs="Times New Roman"/>
          <w:sz w:val="24"/>
          <w:szCs w:val="24"/>
          <w:lang w:val="ru-RU"/>
        </w:rPr>
        <w:t>.</w:t>
      </w:r>
      <w:r w:rsidR="00D30016" w:rsidRPr="00B90023">
        <w:rPr>
          <w:rFonts w:ascii="Times New Roman" w:hAnsi="Times New Roman" w:cs="Times New Roman"/>
          <w:sz w:val="24"/>
          <w:szCs w:val="24"/>
          <w:lang w:val="ru-RU"/>
        </w:rPr>
        <w:t xml:space="preserve"> </w:t>
      </w:r>
    </w:p>
    <w:p w14:paraId="21E4EBB2" w14:textId="5504CE18" w:rsidR="00D86FD8" w:rsidRPr="00215740" w:rsidRDefault="00D86FD8" w:rsidP="001365A2">
      <w:pPr>
        <w:spacing w:after="120" w:line="240" w:lineRule="auto"/>
        <w:jc w:val="both"/>
        <w:rPr>
          <w:rFonts w:ascii="Times New Roman" w:eastAsia="Times New Roman" w:hAnsi="Times New Roman" w:cs="Times New Roman"/>
          <w:b/>
          <w:sz w:val="24"/>
          <w:szCs w:val="24"/>
          <w:lang w:eastAsia="bg-BG"/>
        </w:rPr>
      </w:pPr>
      <w:r w:rsidRPr="00215740">
        <w:rPr>
          <w:rFonts w:ascii="Times New Roman" w:eastAsia="Times New Roman" w:hAnsi="Times New Roman" w:cs="Times New Roman"/>
          <w:b/>
          <w:sz w:val="24"/>
          <w:szCs w:val="24"/>
          <w:lang w:eastAsia="bg-BG"/>
        </w:rPr>
        <w:t xml:space="preserve">През новия регулаторен период Дружеството очаква да емитира  </w:t>
      </w:r>
      <w:r w:rsidR="00EC6894">
        <w:rPr>
          <w:rFonts w:ascii="Times New Roman" w:eastAsia="Times New Roman" w:hAnsi="Times New Roman" w:cs="Times New Roman"/>
          <w:b/>
          <w:sz w:val="24"/>
          <w:szCs w:val="24"/>
          <w:lang w:eastAsia="bg-BG"/>
        </w:rPr>
        <w:t>………….</w:t>
      </w:r>
      <w:r w:rsidRPr="00215740">
        <w:rPr>
          <w:rFonts w:ascii="Times New Roman" w:eastAsia="Times New Roman" w:hAnsi="Times New Roman" w:cs="Times New Roman"/>
          <w:b/>
          <w:sz w:val="24"/>
          <w:szCs w:val="24"/>
          <w:lang w:eastAsia="bg-BG"/>
        </w:rPr>
        <w:t xml:space="preserve"> тона парникови газове</w:t>
      </w:r>
      <w:r w:rsidR="00FE7C40" w:rsidRPr="00215740">
        <w:rPr>
          <w:rFonts w:ascii="Times New Roman" w:eastAsia="Times New Roman" w:hAnsi="Times New Roman" w:cs="Times New Roman"/>
          <w:b/>
          <w:sz w:val="24"/>
          <w:szCs w:val="24"/>
          <w:lang w:eastAsia="bg-BG"/>
        </w:rPr>
        <w:t xml:space="preserve">, </w:t>
      </w:r>
      <w:r w:rsidRPr="00215740">
        <w:rPr>
          <w:rFonts w:ascii="Times New Roman" w:eastAsia="Times New Roman" w:hAnsi="Times New Roman" w:cs="Times New Roman"/>
          <w:b/>
          <w:sz w:val="24"/>
          <w:szCs w:val="24"/>
          <w:lang w:eastAsia="bg-BG"/>
        </w:rPr>
        <w:t xml:space="preserve"> </w:t>
      </w:r>
      <w:r w:rsidR="00B35157" w:rsidRPr="00215740">
        <w:rPr>
          <w:rFonts w:ascii="Times New Roman" w:eastAsia="Times New Roman" w:hAnsi="Times New Roman" w:cs="Times New Roman"/>
          <w:b/>
          <w:sz w:val="24"/>
          <w:szCs w:val="24"/>
          <w:lang w:eastAsia="bg-BG"/>
        </w:rPr>
        <w:t>като</w:t>
      </w:r>
      <w:r w:rsidRPr="00215740">
        <w:rPr>
          <w:rFonts w:ascii="Times New Roman" w:eastAsia="Times New Roman" w:hAnsi="Times New Roman" w:cs="Times New Roman"/>
          <w:b/>
          <w:sz w:val="24"/>
          <w:szCs w:val="24"/>
          <w:lang w:eastAsia="bg-BG"/>
        </w:rPr>
        <w:t xml:space="preserve"> </w:t>
      </w:r>
      <w:r w:rsidR="00B35157" w:rsidRPr="00215740">
        <w:rPr>
          <w:rFonts w:ascii="Times New Roman" w:eastAsia="Times New Roman" w:hAnsi="Times New Roman" w:cs="Times New Roman"/>
          <w:b/>
          <w:sz w:val="24"/>
          <w:szCs w:val="24"/>
          <w:lang w:eastAsia="bg-BG"/>
        </w:rPr>
        <w:t>цялото количество</w:t>
      </w:r>
      <w:r w:rsidRPr="00215740">
        <w:rPr>
          <w:rFonts w:ascii="Times New Roman" w:eastAsia="Times New Roman" w:hAnsi="Times New Roman" w:cs="Times New Roman"/>
          <w:b/>
          <w:sz w:val="24"/>
          <w:szCs w:val="24"/>
          <w:lang w:eastAsia="bg-BG"/>
        </w:rPr>
        <w:t xml:space="preserve"> </w:t>
      </w:r>
      <w:r w:rsidR="00EC6894">
        <w:rPr>
          <w:rFonts w:ascii="Times New Roman" w:eastAsia="Times New Roman" w:hAnsi="Times New Roman" w:cs="Times New Roman"/>
          <w:b/>
          <w:sz w:val="24"/>
          <w:szCs w:val="24"/>
          <w:lang w:eastAsia="bg-BG"/>
        </w:rPr>
        <w:t>………..</w:t>
      </w:r>
      <w:r w:rsidRPr="00215740">
        <w:rPr>
          <w:rFonts w:ascii="Times New Roman" w:eastAsia="Times New Roman" w:hAnsi="Times New Roman" w:cs="Times New Roman"/>
          <w:b/>
          <w:sz w:val="24"/>
          <w:szCs w:val="24"/>
          <w:lang w:eastAsia="bg-BG"/>
        </w:rPr>
        <w:t xml:space="preserve"> тона следва да бъд</w:t>
      </w:r>
      <w:r w:rsidR="003B14A6" w:rsidRPr="00215740">
        <w:rPr>
          <w:rFonts w:ascii="Times New Roman" w:eastAsia="Times New Roman" w:hAnsi="Times New Roman" w:cs="Times New Roman"/>
          <w:b/>
          <w:sz w:val="24"/>
          <w:szCs w:val="24"/>
          <w:lang w:eastAsia="bg-BG"/>
        </w:rPr>
        <w:t>е</w:t>
      </w:r>
      <w:r w:rsidRPr="00215740">
        <w:rPr>
          <w:rFonts w:ascii="Times New Roman" w:eastAsia="Times New Roman" w:hAnsi="Times New Roman" w:cs="Times New Roman"/>
          <w:b/>
          <w:sz w:val="24"/>
          <w:szCs w:val="24"/>
          <w:lang w:eastAsia="bg-BG"/>
        </w:rPr>
        <w:t xml:space="preserve"> закупен</w:t>
      </w:r>
      <w:r w:rsidR="003B14A6" w:rsidRPr="00215740">
        <w:rPr>
          <w:rFonts w:ascii="Times New Roman" w:eastAsia="Times New Roman" w:hAnsi="Times New Roman" w:cs="Times New Roman"/>
          <w:b/>
          <w:sz w:val="24"/>
          <w:szCs w:val="24"/>
          <w:lang w:eastAsia="bg-BG"/>
        </w:rPr>
        <w:t>о</w:t>
      </w:r>
      <w:r w:rsidRPr="00215740">
        <w:rPr>
          <w:rFonts w:ascii="Times New Roman" w:eastAsia="Times New Roman" w:hAnsi="Times New Roman" w:cs="Times New Roman"/>
          <w:b/>
          <w:sz w:val="24"/>
          <w:szCs w:val="24"/>
          <w:lang w:eastAsia="bg-BG"/>
        </w:rPr>
        <w:t xml:space="preserve"> по пазарни цени. Общата стойност на разходите за квоти за новия регулаторен период се изчислява на </w:t>
      </w:r>
      <w:r w:rsidR="00EC6894">
        <w:rPr>
          <w:rFonts w:ascii="Times New Roman" w:eastAsia="Times New Roman" w:hAnsi="Times New Roman" w:cs="Times New Roman"/>
          <w:b/>
          <w:sz w:val="24"/>
          <w:szCs w:val="24"/>
          <w:lang w:eastAsia="bg-BG"/>
        </w:rPr>
        <w:t>………………</w:t>
      </w:r>
      <w:r w:rsidRPr="00215740">
        <w:rPr>
          <w:rFonts w:ascii="Times New Roman" w:eastAsia="Times New Roman" w:hAnsi="Times New Roman" w:cs="Times New Roman"/>
          <w:b/>
          <w:sz w:val="24"/>
          <w:szCs w:val="24"/>
          <w:lang w:eastAsia="bg-BG"/>
        </w:rPr>
        <w:t xml:space="preserve"> </w:t>
      </w:r>
      <w:proofErr w:type="spellStart"/>
      <w:r w:rsidRPr="00215740">
        <w:rPr>
          <w:rFonts w:ascii="Times New Roman" w:eastAsia="Times New Roman" w:hAnsi="Times New Roman" w:cs="Times New Roman"/>
          <w:b/>
          <w:sz w:val="24"/>
          <w:szCs w:val="24"/>
          <w:lang w:eastAsia="bg-BG"/>
        </w:rPr>
        <w:t>хил.лв</w:t>
      </w:r>
      <w:proofErr w:type="spellEnd"/>
      <w:r w:rsidRPr="00215740">
        <w:rPr>
          <w:rFonts w:ascii="Times New Roman" w:eastAsia="Times New Roman" w:hAnsi="Times New Roman" w:cs="Times New Roman"/>
          <w:b/>
          <w:sz w:val="24"/>
          <w:szCs w:val="24"/>
          <w:lang w:eastAsia="bg-BG"/>
        </w:rPr>
        <w:t xml:space="preserve">., като </w:t>
      </w:r>
      <w:r w:rsidR="00B35157" w:rsidRPr="00215740">
        <w:rPr>
          <w:rFonts w:ascii="Times New Roman" w:eastAsia="Times New Roman" w:hAnsi="Times New Roman" w:cs="Times New Roman"/>
          <w:b/>
          <w:sz w:val="24"/>
          <w:szCs w:val="24"/>
          <w:lang w:eastAsia="bg-BG"/>
        </w:rPr>
        <w:t xml:space="preserve">за изчислението </w:t>
      </w:r>
      <w:r w:rsidRPr="00215740">
        <w:rPr>
          <w:rFonts w:ascii="Times New Roman" w:eastAsia="Times New Roman" w:hAnsi="Times New Roman" w:cs="Times New Roman"/>
          <w:b/>
          <w:sz w:val="24"/>
          <w:szCs w:val="24"/>
          <w:lang w:eastAsia="bg-BG"/>
        </w:rPr>
        <w:t xml:space="preserve">е използвана цена </w:t>
      </w:r>
      <w:r w:rsidR="00B35157" w:rsidRPr="00215740">
        <w:rPr>
          <w:rFonts w:ascii="Times New Roman" w:eastAsia="Times New Roman" w:hAnsi="Times New Roman" w:cs="Times New Roman"/>
          <w:b/>
          <w:sz w:val="24"/>
          <w:szCs w:val="24"/>
          <w:lang w:eastAsia="bg-BG"/>
        </w:rPr>
        <w:t xml:space="preserve">от </w:t>
      </w:r>
      <w:r w:rsidR="00EC6894">
        <w:rPr>
          <w:rFonts w:ascii="Times New Roman" w:eastAsia="Times New Roman" w:hAnsi="Times New Roman" w:cs="Times New Roman"/>
          <w:b/>
          <w:sz w:val="24"/>
          <w:szCs w:val="24"/>
          <w:lang w:eastAsia="bg-BG"/>
        </w:rPr>
        <w:t>…………….</w:t>
      </w:r>
      <w:r w:rsidR="00EC6894" w:rsidRPr="00215740">
        <w:rPr>
          <w:rFonts w:ascii="Times New Roman" w:eastAsia="Times New Roman" w:hAnsi="Times New Roman" w:cs="Times New Roman"/>
          <w:b/>
          <w:sz w:val="24"/>
          <w:szCs w:val="24"/>
          <w:lang w:eastAsia="bg-BG"/>
        </w:rPr>
        <w:t xml:space="preserve"> </w:t>
      </w:r>
      <w:r w:rsidR="00B35157" w:rsidRPr="00215740">
        <w:rPr>
          <w:rFonts w:ascii="Times New Roman" w:eastAsia="Times New Roman" w:hAnsi="Times New Roman" w:cs="Times New Roman"/>
          <w:b/>
          <w:sz w:val="24"/>
          <w:szCs w:val="24"/>
          <w:lang w:eastAsia="bg-BG"/>
        </w:rPr>
        <w:t xml:space="preserve">евро/тон </w:t>
      </w:r>
      <w:r w:rsidR="006B2DC4" w:rsidRPr="00215740">
        <w:rPr>
          <w:rFonts w:ascii="Times New Roman" w:eastAsia="Times New Roman" w:hAnsi="Times New Roman" w:cs="Times New Roman"/>
          <w:b/>
          <w:sz w:val="24"/>
          <w:szCs w:val="24"/>
          <w:lang w:eastAsia="bg-BG"/>
        </w:rPr>
        <w:t>на база закупените от „БЕХ“ ЕАД към момента на подаване на заявлението</w:t>
      </w:r>
      <w:r w:rsidR="00FE7C40" w:rsidRPr="00215740">
        <w:rPr>
          <w:rFonts w:ascii="Times New Roman" w:eastAsia="Times New Roman" w:hAnsi="Times New Roman" w:cs="Times New Roman"/>
          <w:b/>
          <w:sz w:val="24"/>
          <w:szCs w:val="24"/>
          <w:lang w:eastAsia="bg-BG"/>
        </w:rPr>
        <w:t xml:space="preserve"> и настоящата пазарна ситуация</w:t>
      </w:r>
      <w:r w:rsidR="00B35157" w:rsidRPr="00215740">
        <w:rPr>
          <w:rFonts w:ascii="Times New Roman" w:eastAsia="Times New Roman" w:hAnsi="Times New Roman" w:cs="Times New Roman"/>
          <w:b/>
          <w:sz w:val="24"/>
          <w:szCs w:val="24"/>
          <w:lang w:eastAsia="bg-BG"/>
        </w:rPr>
        <w:t>.</w:t>
      </w:r>
    </w:p>
    <w:p w14:paraId="55094D02" w14:textId="77777777" w:rsidR="00D86FD8" w:rsidRPr="00D86FD8" w:rsidRDefault="00D86FD8" w:rsidP="001365A2">
      <w:pPr>
        <w:autoSpaceDE w:val="0"/>
        <w:autoSpaceDN w:val="0"/>
        <w:adjustRightInd w:val="0"/>
        <w:spacing w:after="120" w:line="240" w:lineRule="auto"/>
        <w:jc w:val="both"/>
        <w:rPr>
          <w:rFonts w:ascii="Times New Roman" w:eastAsia="Times New Roman" w:hAnsi="Times New Roman" w:cs="Times New Roman"/>
          <w:sz w:val="24"/>
          <w:szCs w:val="24"/>
          <w:lang w:eastAsia="bg-BG"/>
        </w:rPr>
      </w:pPr>
    </w:p>
    <w:p w14:paraId="60DC1AEB" w14:textId="77777777" w:rsidR="00D86FD8" w:rsidRPr="00D86FD8" w:rsidRDefault="00D86FD8" w:rsidP="001365A2">
      <w:pPr>
        <w:tabs>
          <w:tab w:val="num" w:pos="520"/>
        </w:tabs>
        <w:suppressAutoHyphens/>
        <w:spacing w:after="120" w:line="240" w:lineRule="auto"/>
        <w:jc w:val="both"/>
        <w:rPr>
          <w:rFonts w:ascii="Times New Roman" w:eastAsia="Times New Roman" w:hAnsi="Times New Roman" w:cs="Times New Roman"/>
          <w:b/>
          <w:sz w:val="24"/>
          <w:szCs w:val="24"/>
          <w:lang w:eastAsia="bg-BG"/>
        </w:rPr>
      </w:pPr>
      <w:r w:rsidRPr="00D86FD8">
        <w:rPr>
          <w:rFonts w:ascii="Times New Roman" w:eastAsia="Times New Roman" w:hAnsi="Times New Roman" w:cs="Times New Roman"/>
          <w:b/>
          <w:sz w:val="24"/>
          <w:szCs w:val="24"/>
          <w:lang w:eastAsia="bg-BG"/>
        </w:rPr>
        <w:t>3.3. Условно постоянни разходи</w:t>
      </w:r>
    </w:p>
    <w:p w14:paraId="1318BD81" w14:textId="407DFB8E" w:rsidR="00D86FD8" w:rsidRDefault="00D86FD8" w:rsidP="001365A2">
      <w:pPr>
        <w:tabs>
          <w:tab w:val="num" w:pos="520"/>
        </w:tabs>
        <w:suppressAutoHyphens/>
        <w:spacing w:after="120" w:line="240" w:lineRule="auto"/>
        <w:jc w:val="both"/>
        <w:rPr>
          <w:rFonts w:ascii="Times New Roman" w:eastAsia="Times New Roman" w:hAnsi="Times New Roman" w:cs="Times New Roman"/>
          <w:sz w:val="24"/>
          <w:szCs w:val="24"/>
          <w:lang w:eastAsia="bg-BG"/>
        </w:rPr>
      </w:pPr>
      <w:r w:rsidRPr="00D86FD8">
        <w:rPr>
          <w:rFonts w:ascii="Times New Roman" w:eastAsia="Times New Roman" w:hAnsi="Times New Roman" w:cs="Times New Roman"/>
          <w:sz w:val="24"/>
          <w:szCs w:val="24"/>
          <w:lang w:eastAsia="bg-BG"/>
        </w:rPr>
        <w:t xml:space="preserve">Условно–постоянните разходи (УПР) включват пет основни подгрупи: разходи за заплати, разходи свързани с осигурителното законодателство, разходи за амортизации, разходи за ремонти и разходи пряко свързани с дейността по лицензията. </w:t>
      </w:r>
      <w:r w:rsidRPr="001365A2">
        <w:rPr>
          <w:rFonts w:ascii="Times New Roman" w:eastAsia="Times New Roman" w:hAnsi="Times New Roman" w:cs="Times New Roman"/>
          <w:b/>
          <w:bCs/>
          <w:sz w:val="24"/>
          <w:szCs w:val="24"/>
          <w:lang w:eastAsia="bg-BG"/>
        </w:rPr>
        <w:t xml:space="preserve">Общата стойност на планираните постоянни разходи, които дружеството е предявило за признаване от КЕВР за новия ценови период възлиза на </w:t>
      </w:r>
      <w:r w:rsidR="00D53243" w:rsidRPr="00D53243">
        <w:rPr>
          <w:rFonts w:ascii="Times New Roman" w:eastAsia="Times New Roman" w:hAnsi="Times New Roman" w:cs="Times New Roman"/>
          <w:sz w:val="24"/>
          <w:szCs w:val="24"/>
          <w:lang w:eastAsia="bg-BG"/>
        </w:rPr>
        <w:t xml:space="preserve"> съобразена със спецификата на управление на централата и </w:t>
      </w:r>
      <w:r w:rsidR="00D53243" w:rsidRPr="003F5611">
        <w:rPr>
          <w:rFonts w:ascii="Times New Roman" w:eastAsia="Times New Roman" w:hAnsi="Times New Roman" w:cs="Times New Roman"/>
          <w:b/>
          <w:bCs/>
          <w:sz w:val="24"/>
          <w:szCs w:val="24"/>
          <w:lang w:eastAsia="bg-BG"/>
        </w:rPr>
        <w:t>не включва разходи, които не се признават като ценообразуващ елемент, както и разходи свързани с „Нерегулирани дейности“, по смисъла на Наредба № 1, издадена от КЕВР.</w:t>
      </w:r>
      <w:r w:rsidR="00D53243" w:rsidRPr="00D53243">
        <w:rPr>
          <w:rFonts w:ascii="Times New Roman" w:eastAsia="Times New Roman" w:hAnsi="Times New Roman" w:cs="Times New Roman"/>
          <w:sz w:val="24"/>
          <w:szCs w:val="24"/>
          <w:lang w:eastAsia="bg-BG"/>
        </w:rPr>
        <w:t xml:space="preserve"> Подробна структура на планираните разходи за новия регулаторен период е както следва:</w:t>
      </w:r>
    </w:p>
    <w:p w14:paraId="372AB4F0" w14:textId="77777777" w:rsidR="00B5447C" w:rsidRDefault="00B5447C" w:rsidP="00D86FD8">
      <w:pPr>
        <w:tabs>
          <w:tab w:val="num" w:pos="520"/>
        </w:tabs>
        <w:suppressAutoHyphens/>
        <w:spacing w:after="0" w:line="240" w:lineRule="auto"/>
        <w:jc w:val="both"/>
      </w:pPr>
      <w:r>
        <w:rPr>
          <w:rFonts w:ascii="Times New Roman" w:eastAsia="Times New Roman" w:hAnsi="Times New Roman" w:cs="Times New Roman"/>
          <w:sz w:val="24"/>
          <w:szCs w:val="24"/>
          <w:lang w:eastAsia="bg-BG"/>
        </w:rPr>
        <w:lastRenderedPageBreak/>
        <w:fldChar w:fldCharType="begin"/>
      </w:r>
      <w:r>
        <w:rPr>
          <w:rFonts w:ascii="Times New Roman" w:eastAsia="Times New Roman" w:hAnsi="Times New Roman" w:cs="Times New Roman"/>
          <w:sz w:val="24"/>
          <w:szCs w:val="24"/>
          <w:lang w:eastAsia="bg-BG"/>
        </w:rPr>
        <w:instrText xml:space="preserve"> LINK </w:instrText>
      </w:r>
      <w:r w:rsidR="00B20DD9">
        <w:rPr>
          <w:rFonts w:ascii="Times New Roman" w:eastAsia="Times New Roman" w:hAnsi="Times New Roman" w:cs="Times New Roman"/>
          <w:sz w:val="24"/>
          <w:szCs w:val="24"/>
          <w:lang w:eastAsia="bg-BG"/>
        </w:rPr>
        <w:instrText xml:space="preserve">Excel.SheetMacroEnabled.12 "C:\\Users\\User\\Desktop\\MI2-Texniko-ikonom2020\\Spr_1-5_2021 NRCEE_26.03.2021_SG.xlsm" Разходи!R7C1:R41C5 </w:instrText>
      </w:r>
      <w:r>
        <w:rPr>
          <w:rFonts w:ascii="Times New Roman" w:eastAsia="Times New Roman" w:hAnsi="Times New Roman" w:cs="Times New Roman"/>
          <w:sz w:val="24"/>
          <w:szCs w:val="24"/>
          <w:lang w:eastAsia="bg-BG"/>
        </w:rPr>
        <w:instrText xml:space="preserve">\a \f 5 \h  \* MERGEFORMAT </w:instrText>
      </w:r>
      <w:r>
        <w:rPr>
          <w:rFonts w:ascii="Times New Roman" w:eastAsia="Times New Roman" w:hAnsi="Times New Roman" w:cs="Times New Roman"/>
          <w:sz w:val="24"/>
          <w:szCs w:val="24"/>
          <w:lang w:eastAsia="bg-BG"/>
        </w:rPr>
        <w:fldChar w:fldCharType="separate"/>
      </w:r>
    </w:p>
    <w:tbl>
      <w:tblPr>
        <w:tblStyle w:val="TableGrid"/>
        <w:tblW w:w="9067" w:type="dxa"/>
        <w:jc w:val="center"/>
        <w:tblLook w:val="04A0" w:firstRow="1" w:lastRow="0" w:firstColumn="1" w:lastColumn="0" w:noHBand="0" w:noVBand="1"/>
      </w:tblPr>
      <w:tblGrid>
        <w:gridCol w:w="616"/>
        <w:gridCol w:w="4482"/>
        <w:gridCol w:w="961"/>
        <w:gridCol w:w="1570"/>
        <w:gridCol w:w="1438"/>
      </w:tblGrid>
      <w:tr w:rsidR="00B5447C" w:rsidRPr="00B5447C" w14:paraId="439C2170" w14:textId="77777777" w:rsidTr="00F30A94">
        <w:trPr>
          <w:trHeight w:val="450"/>
          <w:jc w:val="center"/>
        </w:trPr>
        <w:tc>
          <w:tcPr>
            <w:tcW w:w="616" w:type="dxa"/>
            <w:vMerge w:val="restart"/>
            <w:hideMark/>
          </w:tcPr>
          <w:p w14:paraId="7C6C2211"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5B63DFEF"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2192B41C"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14145950"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w:t>
            </w:r>
          </w:p>
        </w:tc>
        <w:tc>
          <w:tcPr>
            <w:tcW w:w="4482" w:type="dxa"/>
            <w:vMerge w:val="restart"/>
            <w:hideMark/>
          </w:tcPr>
          <w:p w14:paraId="6BB2FBF2"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4C78615C"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413BD65F"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2F9BCD16"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НАИМЕНОВАНИЕ НА РАЗХОДИТЕ</w:t>
            </w:r>
          </w:p>
        </w:tc>
        <w:tc>
          <w:tcPr>
            <w:tcW w:w="961" w:type="dxa"/>
            <w:vMerge w:val="restart"/>
            <w:hideMark/>
          </w:tcPr>
          <w:p w14:paraId="07177EEA"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2B6C9A25"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00624DB2"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564B4761"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МЯРКА</w:t>
            </w:r>
          </w:p>
        </w:tc>
        <w:tc>
          <w:tcPr>
            <w:tcW w:w="1570" w:type="dxa"/>
            <w:vMerge w:val="restart"/>
            <w:hideMark/>
          </w:tcPr>
          <w:p w14:paraId="20FE4A67"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56792470" w14:textId="77777777" w:rsidR="008D0AF7" w:rsidRDefault="008D0AF7" w:rsidP="008D0AF7">
            <w:pPr>
              <w:tabs>
                <w:tab w:val="num" w:pos="520"/>
              </w:tabs>
              <w:suppressAutoHyphens/>
              <w:jc w:val="center"/>
              <w:rPr>
                <w:rFonts w:ascii="Times New Roman" w:eastAsia="Times New Roman" w:hAnsi="Times New Roman" w:cs="Times New Roman"/>
                <w:b/>
                <w:bCs/>
                <w:sz w:val="20"/>
                <w:szCs w:val="20"/>
                <w:lang w:eastAsia="bg-BG"/>
              </w:rPr>
            </w:pPr>
          </w:p>
          <w:p w14:paraId="0077C06C"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Отчет    2020год.</w:t>
            </w:r>
          </w:p>
        </w:tc>
        <w:tc>
          <w:tcPr>
            <w:tcW w:w="1438" w:type="dxa"/>
            <w:vMerge w:val="restart"/>
            <w:hideMark/>
          </w:tcPr>
          <w:p w14:paraId="0D1D99A6"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Прогноза регулаторен период     01.07.2021-30.06.2022</w:t>
            </w:r>
          </w:p>
        </w:tc>
      </w:tr>
      <w:tr w:rsidR="00B5447C" w:rsidRPr="00B5447C" w14:paraId="7F2CB28E" w14:textId="77777777" w:rsidTr="00F30A94">
        <w:trPr>
          <w:trHeight w:val="458"/>
          <w:jc w:val="center"/>
        </w:trPr>
        <w:tc>
          <w:tcPr>
            <w:tcW w:w="616" w:type="dxa"/>
            <w:vMerge/>
            <w:hideMark/>
          </w:tcPr>
          <w:p w14:paraId="57BBAA81"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c>
          <w:tcPr>
            <w:tcW w:w="4482" w:type="dxa"/>
            <w:vMerge/>
            <w:hideMark/>
          </w:tcPr>
          <w:p w14:paraId="5588ECBB"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p>
        </w:tc>
        <w:tc>
          <w:tcPr>
            <w:tcW w:w="961" w:type="dxa"/>
            <w:vMerge/>
            <w:hideMark/>
          </w:tcPr>
          <w:p w14:paraId="00EEA1EC"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p>
        </w:tc>
        <w:tc>
          <w:tcPr>
            <w:tcW w:w="1570" w:type="dxa"/>
            <w:vMerge/>
            <w:hideMark/>
          </w:tcPr>
          <w:p w14:paraId="5DC681FF"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p>
        </w:tc>
        <w:tc>
          <w:tcPr>
            <w:tcW w:w="1438" w:type="dxa"/>
            <w:vMerge/>
            <w:hideMark/>
          </w:tcPr>
          <w:p w14:paraId="2375F45F"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p>
        </w:tc>
      </w:tr>
      <w:tr w:rsidR="00B5447C" w:rsidRPr="00B5447C" w14:paraId="077C49EA" w14:textId="77777777" w:rsidTr="00F30A94">
        <w:trPr>
          <w:trHeight w:val="450"/>
          <w:jc w:val="center"/>
        </w:trPr>
        <w:tc>
          <w:tcPr>
            <w:tcW w:w="616" w:type="dxa"/>
            <w:vMerge/>
            <w:hideMark/>
          </w:tcPr>
          <w:p w14:paraId="70CAEDD0"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c>
          <w:tcPr>
            <w:tcW w:w="4482" w:type="dxa"/>
            <w:vMerge/>
            <w:hideMark/>
          </w:tcPr>
          <w:p w14:paraId="34124B0F"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p>
        </w:tc>
        <w:tc>
          <w:tcPr>
            <w:tcW w:w="961" w:type="dxa"/>
            <w:vMerge/>
            <w:hideMark/>
          </w:tcPr>
          <w:p w14:paraId="3CD65A16"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p>
        </w:tc>
        <w:tc>
          <w:tcPr>
            <w:tcW w:w="1570" w:type="dxa"/>
            <w:vMerge/>
            <w:hideMark/>
          </w:tcPr>
          <w:p w14:paraId="064ADD74"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p>
        </w:tc>
        <w:tc>
          <w:tcPr>
            <w:tcW w:w="1438" w:type="dxa"/>
            <w:vMerge/>
            <w:hideMark/>
          </w:tcPr>
          <w:p w14:paraId="011E6E5B"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p>
        </w:tc>
      </w:tr>
      <w:tr w:rsidR="008D0AF7" w:rsidRPr="008D0AF7" w14:paraId="38478742" w14:textId="77777777" w:rsidTr="00F30A94">
        <w:trPr>
          <w:trHeight w:val="255"/>
          <w:jc w:val="center"/>
        </w:trPr>
        <w:tc>
          <w:tcPr>
            <w:tcW w:w="616" w:type="dxa"/>
            <w:hideMark/>
          </w:tcPr>
          <w:p w14:paraId="462C59F8" w14:textId="77777777" w:rsidR="00B5447C" w:rsidRPr="008D0AF7" w:rsidRDefault="00B5447C" w:rsidP="008D0AF7">
            <w:pPr>
              <w:tabs>
                <w:tab w:val="num" w:pos="520"/>
              </w:tabs>
              <w:suppressAutoHyphens/>
              <w:jc w:val="center"/>
              <w:rPr>
                <w:rFonts w:ascii="Times New Roman" w:eastAsia="Times New Roman" w:hAnsi="Times New Roman" w:cs="Times New Roman"/>
                <w:sz w:val="16"/>
                <w:szCs w:val="16"/>
                <w:lang w:eastAsia="bg-BG"/>
              </w:rPr>
            </w:pPr>
            <w:r w:rsidRPr="008D0AF7">
              <w:rPr>
                <w:rFonts w:ascii="Times New Roman" w:eastAsia="Times New Roman" w:hAnsi="Times New Roman" w:cs="Times New Roman"/>
                <w:sz w:val="16"/>
                <w:szCs w:val="16"/>
                <w:lang w:eastAsia="bg-BG"/>
              </w:rPr>
              <w:t>1</w:t>
            </w:r>
          </w:p>
        </w:tc>
        <w:tc>
          <w:tcPr>
            <w:tcW w:w="4482" w:type="dxa"/>
            <w:hideMark/>
          </w:tcPr>
          <w:p w14:paraId="2E845AC5" w14:textId="77777777" w:rsidR="00B5447C" w:rsidRPr="008D0AF7" w:rsidRDefault="00B5447C" w:rsidP="008D0AF7">
            <w:pPr>
              <w:tabs>
                <w:tab w:val="num" w:pos="520"/>
              </w:tabs>
              <w:suppressAutoHyphens/>
              <w:jc w:val="center"/>
              <w:rPr>
                <w:rFonts w:ascii="Times New Roman" w:eastAsia="Times New Roman" w:hAnsi="Times New Roman" w:cs="Times New Roman"/>
                <w:sz w:val="16"/>
                <w:szCs w:val="16"/>
                <w:lang w:eastAsia="bg-BG"/>
              </w:rPr>
            </w:pPr>
            <w:r w:rsidRPr="008D0AF7">
              <w:rPr>
                <w:rFonts w:ascii="Times New Roman" w:eastAsia="Times New Roman" w:hAnsi="Times New Roman" w:cs="Times New Roman"/>
                <w:sz w:val="16"/>
                <w:szCs w:val="16"/>
                <w:lang w:eastAsia="bg-BG"/>
              </w:rPr>
              <w:t>2</w:t>
            </w:r>
          </w:p>
        </w:tc>
        <w:tc>
          <w:tcPr>
            <w:tcW w:w="961" w:type="dxa"/>
            <w:hideMark/>
          </w:tcPr>
          <w:p w14:paraId="269B074B" w14:textId="77777777" w:rsidR="00B5447C" w:rsidRPr="008D0AF7" w:rsidRDefault="00B5447C" w:rsidP="008D0AF7">
            <w:pPr>
              <w:tabs>
                <w:tab w:val="num" w:pos="520"/>
              </w:tabs>
              <w:suppressAutoHyphens/>
              <w:jc w:val="center"/>
              <w:rPr>
                <w:rFonts w:ascii="Times New Roman" w:eastAsia="Times New Roman" w:hAnsi="Times New Roman" w:cs="Times New Roman"/>
                <w:sz w:val="16"/>
                <w:szCs w:val="16"/>
                <w:lang w:eastAsia="bg-BG"/>
              </w:rPr>
            </w:pPr>
            <w:r w:rsidRPr="008D0AF7">
              <w:rPr>
                <w:rFonts w:ascii="Times New Roman" w:eastAsia="Times New Roman" w:hAnsi="Times New Roman" w:cs="Times New Roman"/>
                <w:sz w:val="16"/>
                <w:szCs w:val="16"/>
                <w:lang w:eastAsia="bg-BG"/>
              </w:rPr>
              <w:t>3</w:t>
            </w:r>
          </w:p>
        </w:tc>
        <w:tc>
          <w:tcPr>
            <w:tcW w:w="1570" w:type="dxa"/>
            <w:hideMark/>
          </w:tcPr>
          <w:p w14:paraId="247385EA" w14:textId="77777777" w:rsidR="00B5447C" w:rsidRPr="008D0AF7" w:rsidRDefault="00B5447C" w:rsidP="008D0AF7">
            <w:pPr>
              <w:tabs>
                <w:tab w:val="num" w:pos="520"/>
              </w:tabs>
              <w:suppressAutoHyphens/>
              <w:jc w:val="center"/>
              <w:rPr>
                <w:rFonts w:ascii="Times New Roman" w:eastAsia="Times New Roman" w:hAnsi="Times New Roman" w:cs="Times New Roman"/>
                <w:sz w:val="16"/>
                <w:szCs w:val="16"/>
                <w:lang w:eastAsia="bg-BG"/>
              </w:rPr>
            </w:pPr>
            <w:r w:rsidRPr="008D0AF7">
              <w:rPr>
                <w:rFonts w:ascii="Times New Roman" w:eastAsia="Times New Roman" w:hAnsi="Times New Roman" w:cs="Times New Roman"/>
                <w:sz w:val="16"/>
                <w:szCs w:val="16"/>
                <w:lang w:eastAsia="bg-BG"/>
              </w:rPr>
              <w:t>4</w:t>
            </w:r>
          </w:p>
        </w:tc>
        <w:tc>
          <w:tcPr>
            <w:tcW w:w="1438" w:type="dxa"/>
            <w:hideMark/>
          </w:tcPr>
          <w:p w14:paraId="7EE52849" w14:textId="77777777" w:rsidR="00B5447C" w:rsidRPr="008D0AF7" w:rsidRDefault="00B5447C" w:rsidP="008D0AF7">
            <w:pPr>
              <w:tabs>
                <w:tab w:val="num" w:pos="520"/>
              </w:tabs>
              <w:suppressAutoHyphens/>
              <w:jc w:val="center"/>
              <w:rPr>
                <w:rFonts w:ascii="Times New Roman" w:eastAsia="Times New Roman" w:hAnsi="Times New Roman" w:cs="Times New Roman"/>
                <w:sz w:val="16"/>
                <w:szCs w:val="16"/>
                <w:lang w:eastAsia="bg-BG"/>
              </w:rPr>
            </w:pPr>
            <w:r w:rsidRPr="008D0AF7">
              <w:rPr>
                <w:rFonts w:ascii="Times New Roman" w:eastAsia="Times New Roman" w:hAnsi="Times New Roman" w:cs="Times New Roman"/>
                <w:sz w:val="16"/>
                <w:szCs w:val="16"/>
                <w:lang w:eastAsia="bg-BG"/>
              </w:rPr>
              <w:t>5</w:t>
            </w:r>
          </w:p>
        </w:tc>
      </w:tr>
      <w:tr w:rsidR="00B5447C" w:rsidRPr="00B5447C" w14:paraId="6F21032E" w14:textId="77777777" w:rsidTr="00610788">
        <w:trPr>
          <w:trHeight w:val="240"/>
          <w:jc w:val="center"/>
        </w:trPr>
        <w:tc>
          <w:tcPr>
            <w:tcW w:w="616" w:type="dxa"/>
            <w:hideMark/>
          </w:tcPr>
          <w:p w14:paraId="2B1CC9DE"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I</w:t>
            </w:r>
          </w:p>
        </w:tc>
        <w:tc>
          <w:tcPr>
            <w:tcW w:w="4482" w:type="dxa"/>
            <w:noWrap/>
            <w:hideMark/>
          </w:tcPr>
          <w:p w14:paraId="0A7909CA"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УСЛОВНО-ПОСТОЯННИ   РАЗХОДИ</w:t>
            </w:r>
          </w:p>
        </w:tc>
        <w:tc>
          <w:tcPr>
            <w:tcW w:w="961" w:type="dxa"/>
            <w:noWrap/>
            <w:hideMark/>
          </w:tcPr>
          <w:p w14:paraId="60795070"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хил. лв.</w:t>
            </w:r>
          </w:p>
        </w:tc>
        <w:tc>
          <w:tcPr>
            <w:tcW w:w="1570" w:type="dxa"/>
            <w:noWrap/>
          </w:tcPr>
          <w:p w14:paraId="290FD286" w14:textId="3C284D4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c>
          <w:tcPr>
            <w:tcW w:w="1438" w:type="dxa"/>
            <w:noWrap/>
          </w:tcPr>
          <w:p w14:paraId="5F0C1F7E" w14:textId="5FA1CC0C" w:rsidR="00B5447C" w:rsidRPr="00B5447C" w:rsidRDefault="00B5447C" w:rsidP="008F754F">
            <w:pPr>
              <w:tabs>
                <w:tab w:val="num" w:pos="520"/>
              </w:tabs>
              <w:suppressAutoHyphens/>
              <w:jc w:val="center"/>
              <w:rPr>
                <w:rFonts w:ascii="Times New Roman" w:eastAsia="Times New Roman" w:hAnsi="Times New Roman" w:cs="Times New Roman"/>
                <w:b/>
                <w:bCs/>
                <w:sz w:val="20"/>
                <w:szCs w:val="20"/>
                <w:lang w:eastAsia="bg-BG"/>
              </w:rPr>
            </w:pPr>
          </w:p>
        </w:tc>
      </w:tr>
      <w:tr w:rsidR="00B5447C" w:rsidRPr="00B5447C" w14:paraId="130F165F" w14:textId="77777777" w:rsidTr="00610788">
        <w:trPr>
          <w:trHeight w:val="255"/>
          <w:jc w:val="center"/>
        </w:trPr>
        <w:tc>
          <w:tcPr>
            <w:tcW w:w="616" w:type="dxa"/>
            <w:hideMark/>
          </w:tcPr>
          <w:p w14:paraId="6083F6D1"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1</w:t>
            </w:r>
          </w:p>
        </w:tc>
        <w:tc>
          <w:tcPr>
            <w:tcW w:w="4482" w:type="dxa"/>
            <w:hideMark/>
          </w:tcPr>
          <w:p w14:paraId="41A09A8D"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Разходи за заплати (възнаграждения)</w:t>
            </w:r>
          </w:p>
        </w:tc>
        <w:tc>
          <w:tcPr>
            <w:tcW w:w="961" w:type="dxa"/>
            <w:noWrap/>
            <w:hideMark/>
          </w:tcPr>
          <w:p w14:paraId="4955D8E8"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хил. лв.</w:t>
            </w:r>
          </w:p>
        </w:tc>
        <w:tc>
          <w:tcPr>
            <w:tcW w:w="1570" w:type="dxa"/>
            <w:noWrap/>
          </w:tcPr>
          <w:p w14:paraId="7D6F1345" w14:textId="5D1DCD49"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c>
          <w:tcPr>
            <w:tcW w:w="1438" w:type="dxa"/>
            <w:noWrap/>
          </w:tcPr>
          <w:p w14:paraId="294339DA" w14:textId="5B595D0F"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r>
      <w:tr w:rsidR="00B5447C" w:rsidRPr="00B5447C" w14:paraId="5F8EB99A" w14:textId="77777777" w:rsidTr="00610788">
        <w:trPr>
          <w:trHeight w:val="630"/>
          <w:jc w:val="center"/>
        </w:trPr>
        <w:tc>
          <w:tcPr>
            <w:tcW w:w="616" w:type="dxa"/>
            <w:hideMark/>
          </w:tcPr>
          <w:p w14:paraId="44D9FA80"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2</w:t>
            </w:r>
          </w:p>
        </w:tc>
        <w:tc>
          <w:tcPr>
            <w:tcW w:w="4482" w:type="dxa"/>
            <w:hideMark/>
          </w:tcPr>
          <w:p w14:paraId="796BDEFB"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Начисления, свързани с т.1, по действащото законодателство</w:t>
            </w:r>
          </w:p>
        </w:tc>
        <w:tc>
          <w:tcPr>
            <w:tcW w:w="961" w:type="dxa"/>
            <w:noWrap/>
            <w:hideMark/>
          </w:tcPr>
          <w:p w14:paraId="3A564543"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хил. лв.</w:t>
            </w:r>
          </w:p>
        </w:tc>
        <w:tc>
          <w:tcPr>
            <w:tcW w:w="1570" w:type="dxa"/>
            <w:noWrap/>
          </w:tcPr>
          <w:p w14:paraId="1AABDB68" w14:textId="0E53E5BD"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c>
          <w:tcPr>
            <w:tcW w:w="1438" w:type="dxa"/>
            <w:noWrap/>
          </w:tcPr>
          <w:p w14:paraId="4E0CE3DF" w14:textId="43A13C9B"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r>
      <w:tr w:rsidR="00B5447C" w:rsidRPr="00B5447C" w14:paraId="454D452C" w14:textId="77777777" w:rsidTr="00610788">
        <w:trPr>
          <w:trHeight w:val="255"/>
          <w:jc w:val="center"/>
        </w:trPr>
        <w:tc>
          <w:tcPr>
            <w:tcW w:w="616" w:type="dxa"/>
            <w:hideMark/>
          </w:tcPr>
          <w:p w14:paraId="01732FC0"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2.1</w:t>
            </w:r>
          </w:p>
        </w:tc>
        <w:tc>
          <w:tcPr>
            <w:tcW w:w="4482" w:type="dxa"/>
            <w:hideMark/>
          </w:tcPr>
          <w:p w14:paraId="3AFB9452"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осигурителни вноски</w:t>
            </w:r>
          </w:p>
        </w:tc>
        <w:tc>
          <w:tcPr>
            <w:tcW w:w="961" w:type="dxa"/>
            <w:noWrap/>
            <w:hideMark/>
          </w:tcPr>
          <w:p w14:paraId="6075D0C6"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22D73012" w14:textId="1B9EE1F3"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345BEAD9" w14:textId="394EE060"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2589C05C" w14:textId="77777777" w:rsidTr="00610788">
        <w:trPr>
          <w:trHeight w:val="255"/>
          <w:jc w:val="center"/>
        </w:trPr>
        <w:tc>
          <w:tcPr>
            <w:tcW w:w="616" w:type="dxa"/>
            <w:hideMark/>
          </w:tcPr>
          <w:p w14:paraId="4063879E"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2.2</w:t>
            </w:r>
          </w:p>
        </w:tc>
        <w:tc>
          <w:tcPr>
            <w:tcW w:w="4482" w:type="dxa"/>
            <w:hideMark/>
          </w:tcPr>
          <w:p w14:paraId="4556A20C"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социални разходи</w:t>
            </w:r>
          </w:p>
        </w:tc>
        <w:tc>
          <w:tcPr>
            <w:tcW w:w="961" w:type="dxa"/>
            <w:noWrap/>
            <w:hideMark/>
          </w:tcPr>
          <w:p w14:paraId="2793848C"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6150AEB2" w14:textId="22028616"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6F4AD993" w14:textId="55DED135"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494C0EF7" w14:textId="77777777" w:rsidTr="00610788">
        <w:trPr>
          <w:trHeight w:val="360"/>
          <w:jc w:val="center"/>
        </w:trPr>
        <w:tc>
          <w:tcPr>
            <w:tcW w:w="616" w:type="dxa"/>
            <w:hideMark/>
          </w:tcPr>
          <w:p w14:paraId="30A548E3"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3</w:t>
            </w:r>
          </w:p>
        </w:tc>
        <w:tc>
          <w:tcPr>
            <w:tcW w:w="4482" w:type="dxa"/>
            <w:hideMark/>
          </w:tcPr>
          <w:p w14:paraId="4FEA0089"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 xml:space="preserve">Разходи за амортизации </w:t>
            </w:r>
          </w:p>
        </w:tc>
        <w:tc>
          <w:tcPr>
            <w:tcW w:w="961" w:type="dxa"/>
            <w:noWrap/>
            <w:hideMark/>
          </w:tcPr>
          <w:p w14:paraId="5F2359F7"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хил. лв.</w:t>
            </w:r>
          </w:p>
        </w:tc>
        <w:tc>
          <w:tcPr>
            <w:tcW w:w="1570" w:type="dxa"/>
            <w:noWrap/>
          </w:tcPr>
          <w:p w14:paraId="6A3F3C88" w14:textId="600CC893"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c>
          <w:tcPr>
            <w:tcW w:w="1438" w:type="dxa"/>
            <w:noWrap/>
          </w:tcPr>
          <w:p w14:paraId="17022B83" w14:textId="6577A5F0"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r>
      <w:tr w:rsidR="00B5447C" w:rsidRPr="00B5447C" w14:paraId="7D7A256D" w14:textId="77777777" w:rsidTr="00610788">
        <w:trPr>
          <w:trHeight w:val="255"/>
          <w:jc w:val="center"/>
        </w:trPr>
        <w:tc>
          <w:tcPr>
            <w:tcW w:w="616" w:type="dxa"/>
            <w:hideMark/>
          </w:tcPr>
          <w:p w14:paraId="05E6F36C"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4</w:t>
            </w:r>
          </w:p>
        </w:tc>
        <w:tc>
          <w:tcPr>
            <w:tcW w:w="4482" w:type="dxa"/>
            <w:hideMark/>
          </w:tcPr>
          <w:p w14:paraId="081539F9"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Разходи за ремонт</w:t>
            </w:r>
          </w:p>
        </w:tc>
        <w:tc>
          <w:tcPr>
            <w:tcW w:w="961" w:type="dxa"/>
            <w:noWrap/>
            <w:hideMark/>
          </w:tcPr>
          <w:p w14:paraId="315DC0BA"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хил. лв.</w:t>
            </w:r>
          </w:p>
        </w:tc>
        <w:tc>
          <w:tcPr>
            <w:tcW w:w="1570" w:type="dxa"/>
            <w:noWrap/>
          </w:tcPr>
          <w:p w14:paraId="74B76D0B" w14:textId="3A25CFAA"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c>
          <w:tcPr>
            <w:tcW w:w="1438" w:type="dxa"/>
            <w:noWrap/>
          </w:tcPr>
          <w:p w14:paraId="3BDF3828" w14:textId="579C80AD"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r>
      <w:tr w:rsidR="00B5447C" w:rsidRPr="00B5447C" w14:paraId="57945AF9" w14:textId="77777777" w:rsidTr="00610788">
        <w:trPr>
          <w:trHeight w:val="600"/>
          <w:jc w:val="center"/>
        </w:trPr>
        <w:tc>
          <w:tcPr>
            <w:tcW w:w="616" w:type="dxa"/>
            <w:hideMark/>
          </w:tcPr>
          <w:p w14:paraId="51FAD110"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4.1</w:t>
            </w:r>
          </w:p>
        </w:tc>
        <w:tc>
          <w:tcPr>
            <w:tcW w:w="4482" w:type="dxa"/>
            <w:hideMark/>
          </w:tcPr>
          <w:p w14:paraId="1E33466E"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 xml:space="preserve">разходи за вложени машини, </w:t>
            </w:r>
            <w:proofErr w:type="spellStart"/>
            <w:r w:rsidRPr="00B5447C">
              <w:rPr>
                <w:rFonts w:ascii="Times New Roman" w:eastAsia="Times New Roman" w:hAnsi="Times New Roman" w:cs="Times New Roman"/>
                <w:sz w:val="20"/>
                <w:szCs w:val="20"/>
                <w:lang w:eastAsia="bg-BG"/>
              </w:rPr>
              <w:t>рез</w:t>
            </w:r>
            <w:proofErr w:type="spellEnd"/>
            <w:r w:rsidRPr="00B5447C">
              <w:rPr>
                <w:rFonts w:ascii="Times New Roman" w:eastAsia="Times New Roman" w:hAnsi="Times New Roman" w:cs="Times New Roman"/>
                <w:sz w:val="20"/>
                <w:szCs w:val="20"/>
                <w:lang w:eastAsia="bg-BG"/>
              </w:rPr>
              <w:t xml:space="preserve"> части и материали</w:t>
            </w:r>
          </w:p>
        </w:tc>
        <w:tc>
          <w:tcPr>
            <w:tcW w:w="961" w:type="dxa"/>
            <w:noWrap/>
            <w:hideMark/>
          </w:tcPr>
          <w:p w14:paraId="3021A7DA"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16313163" w14:textId="2A015779"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7840589C" w14:textId="108582A5"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332F5D80" w14:textId="77777777" w:rsidTr="00610788">
        <w:trPr>
          <w:trHeight w:val="630"/>
          <w:jc w:val="center"/>
        </w:trPr>
        <w:tc>
          <w:tcPr>
            <w:tcW w:w="616" w:type="dxa"/>
            <w:hideMark/>
          </w:tcPr>
          <w:p w14:paraId="7172D77F"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4.2</w:t>
            </w:r>
          </w:p>
        </w:tc>
        <w:tc>
          <w:tcPr>
            <w:tcW w:w="4482" w:type="dxa"/>
            <w:hideMark/>
          </w:tcPr>
          <w:p w14:paraId="5DC2298E"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проектно-проучвателни работи и външни услуги</w:t>
            </w:r>
          </w:p>
        </w:tc>
        <w:tc>
          <w:tcPr>
            <w:tcW w:w="961" w:type="dxa"/>
            <w:noWrap/>
            <w:hideMark/>
          </w:tcPr>
          <w:p w14:paraId="7CC127B1"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191C9BDA"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7993B90F"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69C0B2A3" w14:textId="77777777" w:rsidTr="00610788">
        <w:trPr>
          <w:trHeight w:val="600"/>
          <w:jc w:val="center"/>
        </w:trPr>
        <w:tc>
          <w:tcPr>
            <w:tcW w:w="616" w:type="dxa"/>
            <w:hideMark/>
          </w:tcPr>
          <w:p w14:paraId="3B22C474"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4.3</w:t>
            </w:r>
          </w:p>
        </w:tc>
        <w:tc>
          <w:tcPr>
            <w:tcW w:w="4482" w:type="dxa"/>
            <w:hideMark/>
          </w:tcPr>
          <w:p w14:paraId="3FD75E86"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строително-монтажни и ремонтни работи от външни услуги</w:t>
            </w:r>
          </w:p>
        </w:tc>
        <w:tc>
          <w:tcPr>
            <w:tcW w:w="961" w:type="dxa"/>
            <w:noWrap/>
            <w:hideMark/>
          </w:tcPr>
          <w:p w14:paraId="4451FFFD"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18D6676D" w14:textId="6CF1A491"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744A8441" w14:textId="0D434A76"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5863FD2B" w14:textId="77777777" w:rsidTr="00610788">
        <w:trPr>
          <w:trHeight w:val="480"/>
          <w:jc w:val="center"/>
        </w:trPr>
        <w:tc>
          <w:tcPr>
            <w:tcW w:w="616" w:type="dxa"/>
            <w:hideMark/>
          </w:tcPr>
          <w:p w14:paraId="20920F54" w14:textId="77777777"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5</w:t>
            </w:r>
          </w:p>
        </w:tc>
        <w:tc>
          <w:tcPr>
            <w:tcW w:w="4482" w:type="dxa"/>
            <w:hideMark/>
          </w:tcPr>
          <w:p w14:paraId="1E62C383"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 xml:space="preserve">Разходи, пряко свързани с </w:t>
            </w:r>
            <w:proofErr w:type="spellStart"/>
            <w:r w:rsidRPr="00B5447C">
              <w:rPr>
                <w:rFonts w:ascii="Times New Roman" w:eastAsia="Times New Roman" w:hAnsi="Times New Roman" w:cs="Times New Roman"/>
                <w:b/>
                <w:bCs/>
                <w:sz w:val="20"/>
                <w:szCs w:val="20"/>
                <w:lang w:eastAsia="bg-BG"/>
              </w:rPr>
              <w:t>дейноста</w:t>
            </w:r>
            <w:proofErr w:type="spellEnd"/>
            <w:r w:rsidRPr="00B5447C">
              <w:rPr>
                <w:rFonts w:ascii="Times New Roman" w:eastAsia="Times New Roman" w:hAnsi="Times New Roman" w:cs="Times New Roman"/>
                <w:b/>
                <w:bCs/>
                <w:sz w:val="20"/>
                <w:szCs w:val="20"/>
                <w:lang w:eastAsia="bg-BG"/>
              </w:rPr>
              <w:t xml:space="preserve"> по лицензията</w:t>
            </w:r>
          </w:p>
        </w:tc>
        <w:tc>
          <w:tcPr>
            <w:tcW w:w="961" w:type="dxa"/>
            <w:noWrap/>
            <w:hideMark/>
          </w:tcPr>
          <w:p w14:paraId="4DF342B2" w14:textId="77777777" w:rsidR="00B5447C" w:rsidRPr="00B5447C" w:rsidRDefault="00B5447C" w:rsidP="00B5447C">
            <w:pPr>
              <w:tabs>
                <w:tab w:val="num" w:pos="520"/>
              </w:tabs>
              <w:suppressAutoHyphens/>
              <w:jc w:val="both"/>
              <w:rPr>
                <w:rFonts w:ascii="Times New Roman" w:eastAsia="Times New Roman" w:hAnsi="Times New Roman" w:cs="Times New Roman"/>
                <w:b/>
                <w:bCs/>
                <w:sz w:val="20"/>
                <w:szCs w:val="20"/>
                <w:lang w:eastAsia="bg-BG"/>
              </w:rPr>
            </w:pPr>
            <w:r w:rsidRPr="00B5447C">
              <w:rPr>
                <w:rFonts w:ascii="Times New Roman" w:eastAsia="Times New Roman" w:hAnsi="Times New Roman" w:cs="Times New Roman"/>
                <w:b/>
                <w:bCs/>
                <w:sz w:val="20"/>
                <w:szCs w:val="20"/>
                <w:lang w:eastAsia="bg-BG"/>
              </w:rPr>
              <w:t>хил. лв.</w:t>
            </w:r>
          </w:p>
        </w:tc>
        <w:tc>
          <w:tcPr>
            <w:tcW w:w="1570" w:type="dxa"/>
            <w:noWrap/>
          </w:tcPr>
          <w:p w14:paraId="085272CC" w14:textId="698C470A" w:rsidR="00B5447C" w:rsidRPr="00B5447C" w:rsidRDefault="00B5447C" w:rsidP="008D0AF7">
            <w:pPr>
              <w:tabs>
                <w:tab w:val="num" w:pos="520"/>
              </w:tabs>
              <w:suppressAutoHyphens/>
              <w:jc w:val="center"/>
              <w:rPr>
                <w:rFonts w:ascii="Times New Roman" w:eastAsia="Times New Roman" w:hAnsi="Times New Roman" w:cs="Times New Roman"/>
                <w:b/>
                <w:bCs/>
                <w:sz w:val="20"/>
                <w:szCs w:val="20"/>
                <w:lang w:eastAsia="bg-BG"/>
              </w:rPr>
            </w:pPr>
          </w:p>
        </w:tc>
        <w:tc>
          <w:tcPr>
            <w:tcW w:w="1438" w:type="dxa"/>
            <w:noWrap/>
          </w:tcPr>
          <w:p w14:paraId="5E0A9E33" w14:textId="7AFA1207" w:rsidR="00B5447C" w:rsidRPr="00B5447C" w:rsidRDefault="00B5447C" w:rsidP="008F754F">
            <w:pPr>
              <w:tabs>
                <w:tab w:val="num" w:pos="520"/>
              </w:tabs>
              <w:suppressAutoHyphens/>
              <w:jc w:val="center"/>
              <w:rPr>
                <w:rFonts w:ascii="Times New Roman" w:eastAsia="Times New Roman" w:hAnsi="Times New Roman" w:cs="Times New Roman"/>
                <w:b/>
                <w:bCs/>
                <w:sz w:val="20"/>
                <w:szCs w:val="20"/>
                <w:lang w:eastAsia="bg-BG"/>
              </w:rPr>
            </w:pPr>
          </w:p>
        </w:tc>
      </w:tr>
      <w:tr w:rsidR="00B5447C" w:rsidRPr="00B5447C" w14:paraId="27D0E84B" w14:textId="77777777" w:rsidTr="00610788">
        <w:trPr>
          <w:trHeight w:val="255"/>
          <w:jc w:val="center"/>
        </w:trPr>
        <w:tc>
          <w:tcPr>
            <w:tcW w:w="616" w:type="dxa"/>
            <w:hideMark/>
          </w:tcPr>
          <w:p w14:paraId="0EF43104"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w:t>
            </w:r>
          </w:p>
        </w:tc>
        <w:tc>
          <w:tcPr>
            <w:tcW w:w="4482" w:type="dxa"/>
            <w:hideMark/>
          </w:tcPr>
          <w:p w14:paraId="49092A7D"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Горива за автотранспорт</w:t>
            </w:r>
          </w:p>
        </w:tc>
        <w:tc>
          <w:tcPr>
            <w:tcW w:w="961" w:type="dxa"/>
            <w:noWrap/>
            <w:hideMark/>
          </w:tcPr>
          <w:p w14:paraId="7FAFD48C"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177A0895" w14:textId="6692989E"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3FA7EA36" w14:textId="20F5CBD4"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69BF07BB" w14:textId="77777777" w:rsidTr="00610788">
        <w:trPr>
          <w:trHeight w:val="255"/>
          <w:jc w:val="center"/>
        </w:trPr>
        <w:tc>
          <w:tcPr>
            <w:tcW w:w="616" w:type="dxa"/>
            <w:hideMark/>
          </w:tcPr>
          <w:p w14:paraId="146C5473"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5.2.</w:t>
            </w:r>
          </w:p>
        </w:tc>
        <w:tc>
          <w:tcPr>
            <w:tcW w:w="4482" w:type="dxa"/>
            <w:hideMark/>
          </w:tcPr>
          <w:p w14:paraId="1AF07308"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Работно облекло</w:t>
            </w:r>
          </w:p>
        </w:tc>
        <w:tc>
          <w:tcPr>
            <w:tcW w:w="961" w:type="dxa"/>
            <w:noWrap/>
            <w:hideMark/>
          </w:tcPr>
          <w:p w14:paraId="1579B6AD"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7961CA3C" w14:textId="1099431C"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37985343" w14:textId="1DBD41DC"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11BED895" w14:textId="77777777" w:rsidTr="00610788">
        <w:trPr>
          <w:trHeight w:val="255"/>
          <w:jc w:val="center"/>
        </w:trPr>
        <w:tc>
          <w:tcPr>
            <w:tcW w:w="616" w:type="dxa"/>
            <w:hideMark/>
          </w:tcPr>
          <w:p w14:paraId="60987B55"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5.3.</w:t>
            </w:r>
          </w:p>
        </w:tc>
        <w:tc>
          <w:tcPr>
            <w:tcW w:w="4482" w:type="dxa"/>
            <w:hideMark/>
          </w:tcPr>
          <w:p w14:paraId="54C04305"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Канцеларски материали</w:t>
            </w:r>
          </w:p>
        </w:tc>
        <w:tc>
          <w:tcPr>
            <w:tcW w:w="961" w:type="dxa"/>
            <w:noWrap/>
            <w:hideMark/>
          </w:tcPr>
          <w:p w14:paraId="6ED7FA2B"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6EA53E47" w14:textId="0094507E"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545310F8" w14:textId="54E0B4C2"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51DC5408" w14:textId="77777777" w:rsidTr="00610788">
        <w:trPr>
          <w:trHeight w:val="255"/>
          <w:jc w:val="center"/>
        </w:trPr>
        <w:tc>
          <w:tcPr>
            <w:tcW w:w="616" w:type="dxa"/>
            <w:hideMark/>
          </w:tcPr>
          <w:p w14:paraId="6187817A"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5.4.</w:t>
            </w:r>
          </w:p>
        </w:tc>
        <w:tc>
          <w:tcPr>
            <w:tcW w:w="4482" w:type="dxa"/>
            <w:hideMark/>
          </w:tcPr>
          <w:p w14:paraId="267F0BC0"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Материали за текущо поддържане</w:t>
            </w:r>
          </w:p>
        </w:tc>
        <w:tc>
          <w:tcPr>
            <w:tcW w:w="961" w:type="dxa"/>
            <w:noWrap/>
            <w:hideMark/>
          </w:tcPr>
          <w:p w14:paraId="72F283D6"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5CB8A6B2" w14:textId="4B835F2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32DFE18B" w14:textId="09E636F5"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0707F39D" w14:textId="77777777" w:rsidTr="00610788">
        <w:trPr>
          <w:trHeight w:val="255"/>
          <w:jc w:val="center"/>
        </w:trPr>
        <w:tc>
          <w:tcPr>
            <w:tcW w:w="616" w:type="dxa"/>
            <w:hideMark/>
          </w:tcPr>
          <w:p w14:paraId="0C909C23"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5.5.</w:t>
            </w:r>
          </w:p>
        </w:tc>
        <w:tc>
          <w:tcPr>
            <w:tcW w:w="4482" w:type="dxa"/>
            <w:hideMark/>
          </w:tcPr>
          <w:p w14:paraId="22C2AD67"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Застраховки</w:t>
            </w:r>
          </w:p>
        </w:tc>
        <w:tc>
          <w:tcPr>
            <w:tcW w:w="961" w:type="dxa"/>
            <w:noWrap/>
            <w:hideMark/>
          </w:tcPr>
          <w:p w14:paraId="21831539"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3CD1E627" w14:textId="5FD71C09"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5B7733B8" w14:textId="5A5B669A"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646E442E" w14:textId="77777777" w:rsidTr="00610788">
        <w:trPr>
          <w:trHeight w:val="255"/>
          <w:jc w:val="center"/>
        </w:trPr>
        <w:tc>
          <w:tcPr>
            <w:tcW w:w="616" w:type="dxa"/>
            <w:hideMark/>
          </w:tcPr>
          <w:p w14:paraId="57197260"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5.6.</w:t>
            </w:r>
          </w:p>
        </w:tc>
        <w:tc>
          <w:tcPr>
            <w:tcW w:w="4482" w:type="dxa"/>
            <w:hideMark/>
          </w:tcPr>
          <w:p w14:paraId="0645AA64"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Местни данъци и такси, акциз</w:t>
            </w:r>
          </w:p>
        </w:tc>
        <w:tc>
          <w:tcPr>
            <w:tcW w:w="961" w:type="dxa"/>
            <w:noWrap/>
            <w:hideMark/>
          </w:tcPr>
          <w:p w14:paraId="39A665D1"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3F9CD233" w14:textId="7F7BF9E8"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7E38CF1B" w14:textId="522F42EC"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61890AAD" w14:textId="77777777" w:rsidTr="00610788">
        <w:trPr>
          <w:trHeight w:val="255"/>
          <w:jc w:val="center"/>
        </w:trPr>
        <w:tc>
          <w:tcPr>
            <w:tcW w:w="616" w:type="dxa"/>
            <w:hideMark/>
          </w:tcPr>
          <w:p w14:paraId="753A7ED6"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5.7.</w:t>
            </w:r>
          </w:p>
        </w:tc>
        <w:tc>
          <w:tcPr>
            <w:tcW w:w="4482" w:type="dxa"/>
            <w:hideMark/>
          </w:tcPr>
          <w:p w14:paraId="6020C7AF"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Пощенски разходи, телефони и абонаменти</w:t>
            </w:r>
          </w:p>
        </w:tc>
        <w:tc>
          <w:tcPr>
            <w:tcW w:w="961" w:type="dxa"/>
            <w:noWrap/>
            <w:hideMark/>
          </w:tcPr>
          <w:p w14:paraId="64996CCC"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6CEFC159" w14:textId="7A274B7F"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44D95B1C" w14:textId="50883954"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119C2D99" w14:textId="77777777" w:rsidTr="00610788">
        <w:trPr>
          <w:trHeight w:val="255"/>
          <w:jc w:val="center"/>
        </w:trPr>
        <w:tc>
          <w:tcPr>
            <w:tcW w:w="616" w:type="dxa"/>
            <w:hideMark/>
          </w:tcPr>
          <w:p w14:paraId="616B6FF4"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5.8.</w:t>
            </w:r>
          </w:p>
        </w:tc>
        <w:tc>
          <w:tcPr>
            <w:tcW w:w="4482" w:type="dxa"/>
            <w:hideMark/>
          </w:tcPr>
          <w:p w14:paraId="71B2CD10"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Абонаментно поддържане</w:t>
            </w:r>
          </w:p>
        </w:tc>
        <w:tc>
          <w:tcPr>
            <w:tcW w:w="961" w:type="dxa"/>
            <w:noWrap/>
            <w:hideMark/>
          </w:tcPr>
          <w:p w14:paraId="7371CE74"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700A2ADA" w14:textId="150C1E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511AF0FE" w14:textId="0CF971A2"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676D4D3C" w14:textId="77777777" w:rsidTr="00610788">
        <w:trPr>
          <w:trHeight w:val="255"/>
          <w:jc w:val="center"/>
        </w:trPr>
        <w:tc>
          <w:tcPr>
            <w:tcW w:w="616" w:type="dxa"/>
            <w:hideMark/>
          </w:tcPr>
          <w:p w14:paraId="2F8DFA95"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5.9.</w:t>
            </w:r>
          </w:p>
        </w:tc>
        <w:tc>
          <w:tcPr>
            <w:tcW w:w="4482" w:type="dxa"/>
            <w:hideMark/>
          </w:tcPr>
          <w:p w14:paraId="74D30236"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Въоръжена и противопожарна охрана</w:t>
            </w:r>
          </w:p>
        </w:tc>
        <w:tc>
          <w:tcPr>
            <w:tcW w:w="961" w:type="dxa"/>
            <w:noWrap/>
            <w:hideMark/>
          </w:tcPr>
          <w:p w14:paraId="5E08DAE2"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14C20751" w14:textId="58890262"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729F6186" w14:textId="1B2D3BBA"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33D72063" w14:textId="77777777" w:rsidTr="00610788">
        <w:trPr>
          <w:trHeight w:val="255"/>
          <w:jc w:val="center"/>
        </w:trPr>
        <w:tc>
          <w:tcPr>
            <w:tcW w:w="616" w:type="dxa"/>
            <w:hideMark/>
          </w:tcPr>
          <w:p w14:paraId="6738E4DD"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5.10.</w:t>
            </w:r>
          </w:p>
        </w:tc>
        <w:tc>
          <w:tcPr>
            <w:tcW w:w="4482" w:type="dxa"/>
            <w:hideMark/>
          </w:tcPr>
          <w:p w14:paraId="0CB0EBF9"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Наеми</w:t>
            </w:r>
          </w:p>
        </w:tc>
        <w:tc>
          <w:tcPr>
            <w:tcW w:w="961" w:type="dxa"/>
            <w:noWrap/>
            <w:hideMark/>
          </w:tcPr>
          <w:p w14:paraId="7A596255"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521E3D88" w14:textId="3159050B"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6D2B5E8C" w14:textId="3F2352DC"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1F5A7120" w14:textId="77777777" w:rsidTr="00610788">
        <w:trPr>
          <w:trHeight w:val="255"/>
          <w:jc w:val="center"/>
        </w:trPr>
        <w:tc>
          <w:tcPr>
            <w:tcW w:w="616" w:type="dxa"/>
            <w:hideMark/>
          </w:tcPr>
          <w:p w14:paraId="5F0255CC"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5.11.</w:t>
            </w:r>
          </w:p>
        </w:tc>
        <w:tc>
          <w:tcPr>
            <w:tcW w:w="4482" w:type="dxa"/>
            <w:hideMark/>
          </w:tcPr>
          <w:p w14:paraId="77A25929"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 xml:space="preserve">Проверка на уреди/услуги </w:t>
            </w:r>
            <w:proofErr w:type="spellStart"/>
            <w:r w:rsidRPr="00B5447C">
              <w:rPr>
                <w:rFonts w:ascii="Times New Roman" w:eastAsia="Times New Roman" w:hAnsi="Times New Roman" w:cs="Times New Roman"/>
                <w:sz w:val="20"/>
                <w:szCs w:val="20"/>
                <w:lang w:eastAsia="bg-BG"/>
              </w:rPr>
              <w:t>тек</w:t>
            </w:r>
            <w:proofErr w:type="spellEnd"/>
            <w:r w:rsidRPr="00B5447C">
              <w:rPr>
                <w:rFonts w:ascii="Times New Roman" w:eastAsia="Times New Roman" w:hAnsi="Times New Roman" w:cs="Times New Roman"/>
                <w:sz w:val="20"/>
                <w:szCs w:val="20"/>
                <w:lang w:eastAsia="bg-BG"/>
              </w:rPr>
              <w:t>. поддържане/</w:t>
            </w:r>
          </w:p>
        </w:tc>
        <w:tc>
          <w:tcPr>
            <w:tcW w:w="961" w:type="dxa"/>
            <w:noWrap/>
            <w:hideMark/>
          </w:tcPr>
          <w:p w14:paraId="2A4362DF"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7634CAEB" w14:textId="492E8FEC"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62598544" w14:textId="1A542DF3"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73E26581" w14:textId="77777777" w:rsidTr="00610788">
        <w:trPr>
          <w:trHeight w:val="255"/>
          <w:jc w:val="center"/>
        </w:trPr>
        <w:tc>
          <w:tcPr>
            <w:tcW w:w="616" w:type="dxa"/>
            <w:hideMark/>
          </w:tcPr>
          <w:p w14:paraId="6BB28FEB"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5.12.</w:t>
            </w:r>
          </w:p>
        </w:tc>
        <w:tc>
          <w:tcPr>
            <w:tcW w:w="4482" w:type="dxa"/>
            <w:hideMark/>
          </w:tcPr>
          <w:p w14:paraId="3C482C86"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Съдебни разходи</w:t>
            </w:r>
          </w:p>
        </w:tc>
        <w:tc>
          <w:tcPr>
            <w:tcW w:w="961" w:type="dxa"/>
            <w:noWrap/>
            <w:hideMark/>
          </w:tcPr>
          <w:p w14:paraId="37E0D7CA"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47C32252" w14:textId="2A737542"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240877A3" w14:textId="2A661E60"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18A20683" w14:textId="77777777" w:rsidTr="00610788">
        <w:trPr>
          <w:trHeight w:val="255"/>
          <w:jc w:val="center"/>
        </w:trPr>
        <w:tc>
          <w:tcPr>
            <w:tcW w:w="616" w:type="dxa"/>
            <w:hideMark/>
          </w:tcPr>
          <w:p w14:paraId="4F5CF608"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5.13.</w:t>
            </w:r>
          </w:p>
        </w:tc>
        <w:tc>
          <w:tcPr>
            <w:tcW w:w="4482" w:type="dxa"/>
            <w:hideMark/>
          </w:tcPr>
          <w:p w14:paraId="3C576799"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Експертни и одиторски разходи</w:t>
            </w:r>
          </w:p>
        </w:tc>
        <w:tc>
          <w:tcPr>
            <w:tcW w:w="961" w:type="dxa"/>
            <w:noWrap/>
            <w:hideMark/>
          </w:tcPr>
          <w:p w14:paraId="002E387F"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083A006F" w14:textId="2AA80199"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342F60D1" w14:textId="0A521151"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732A48DC" w14:textId="77777777" w:rsidTr="00610788">
        <w:trPr>
          <w:trHeight w:val="255"/>
          <w:jc w:val="center"/>
        </w:trPr>
        <w:tc>
          <w:tcPr>
            <w:tcW w:w="616" w:type="dxa"/>
            <w:hideMark/>
          </w:tcPr>
          <w:p w14:paraId="1AE09CF5"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5.14.</w:t>
            </w:r>
          </w:p>
        </w:tc>
        <w:tc>
          <w:tcPr>
            <w:tcW w:w="4482" w:type="dxa"/>
            <w:noWrap/>
            <w:hideMark/>
          </w:tcPr>
          <w:p w14:paraId="35F2182B"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Наем хидротехнически съоръжения</w:t>
            </w:r>
          </w:p>
        </w:tc>
        <w:tc>
          <w:tcPr>
            <w:tcW w:w="961" w:type="dxa"/>
            <w:noWrap/>
            <w:hideMark/>
          </w:tcPr>
          <w:p w14:paraId="2395EB73"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49765106" w14:textId="096F15E3"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5B0F4080" w14:textId="05A7678E"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131FE132" w14:textId="77777777" w:rsidTr="00610788">
        <w:trPr>
          <w:trHeight w:val="255"/>
          <w:jc w:val="center"/>
        </w:trPr>
        <w:tc>
          <w:tcPr>
            <w:tcW w:w="616" w:type="dxa"/>
            <w:hideMark/>
          </w:tcPr>
          <w:p w14:paraId="383A225F"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5.15.</w:t>
            </w:r>
          </w:p>
        </w:tc>
        <w:tc>
          <w:tcPr>
            <w:tcW w:w="4482" w:type="dxa"/>
            <w:hideMark/>
          </w:tcPr>
          <w:p w14:paraId="2945797E"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Вода, отопление и осветление</w:t>
            </w:r>
          </w:p>
        </w:tc>
        <w:tc>
          <w:tcPr>
            <w:tcW w:w="961" w:type="dxa"/>
            <w:noWrap/>
            <w:hideMark/>
          </w:tcPr>
          <w:p w14:paraId="6952AE96"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2400AC33" w14:textId="023C6E02"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48DAF618" w14:textId="6354F7C6"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6DAC387F" w14:textId="77777777" w:rsidTr="00610788">
        <w:trPr>
          <w:trHeight w:val="255"/>
          <w:jc w:val="center"/>
        </w:trPr>
        <w:tc>
          <w:tcPr>
            <w:tcW w:w="616" w:type="dxa"/>
            <w:hideMark/>
          </w:tcPr>
          <w:p w14:paraId="490EF2E9"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5.16.</w:t>
            </w:r>
          </w:p>
        </w:tc>
        <w:tc>
          <w:tcPr>
            <w:tcW w:w="4482" w:type="dxa"/>
            <w:hideMark/>
          </w:tcPr>
          <w:p w14:paraId="5D89B3E0"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Такси лиценз</w:t>
            </w:r>
          </w:p>
        </w:tc>
        <w:tc>
          <w:tcPr>
            <w:tcW w:w="961" w:type="dxa"/>
            <w:noWrap/>
            <w:hideMark/>
          </w:tcPr>
          <w:p w14:paraId="06C69369"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0B11E05D" w14:textId="4DB257D9"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47D9129F" w14:textId="4DE10669" w:rsidR="00B5447C" w:rsidRPr="00B5447C" w:rsidRDefault="00B5447C" w:rsidP="008F754F">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7A7F434E" w14:textId="77777777" w:rsidTr="00610788">
        <w:trPr>
          <w:trHeight w:val="570"/>
          <w:jc w:val="center"/>
        </w:trPr>
        <w:tc>
          <w:tcPr>
            <w:tcW w:w="616" w:type="dxa"/>
            <w:hideMark/>
          </w:tcPr>
          <w:p w14:paraId="03005F12"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5.17.</w:t>
            </w:r>
          </w:p>
        </w:tc>
        <w:tc>
          <w:tcPr>
            <w:tcW w:w="4482" w:type="dxa"/>
            <w:hideMark/>
          </w:tcPr>
          <w:p w14:paraId="404BDDA0"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Безплатна предпазна храна съгласно нормативен акт</w:t>
            </w:r>
          </w:p>
        </w:tc>
        <w:tc>
          <w:tcPr>
            <w:tcW w:w="961" w:type="dxa"/>
            <w:noWrap/>
            <w:hideMark/>
          </w:tcPr>
          <w:p w14:paraId="398223C9"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50A3ACA3" w14:textId="4CBFB72C"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3222C228" w14:textId="71E2E255"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7B2C8C1F" w14:textId="77777777" w:rsidTr="00610788">
        <w:trPr>
          <w:trHeight w:val="240"/>
          <w:jc w:val="center"/>
        </w:trPr>
        <w:tc>
          <w:tcPr>
            <w:tcW w:w="616" w:type="dxa"/>
            <w:hideMark/>
          </w:tcPr>
          <w:p w14:paraId="7F46122D"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5.18.</w:t>
            </w:r>
          </w:p>
        </w:tc>
        <w:tc>
          <w:tcPr>
            <w:tcW w:w="4482" w:type="dxa"/>
            <w:hideMark/>
          </w:tcPr>
          <w:p w14:paraId="3E343884"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Охрана на труда</w:t>
            </w:r>
          </w:p>
        </w:tc>
        <w:tc>
          <w:tcPr>
            <w:tcW w:w="961" w:type="dxa"/>
            <w:noWrap/>
            <w:hideMark/>
          </w:tcPr>
          <w:p w14:paraId="7468F6A4"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79CAF7D9" w14:textId="2811BE6E"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7A932CD9" w14:textId="20D39714"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0C027377" w14:textId="77777777" w:rsidTr="00610788">
        <w:trPr>
          <w:trHeight w:val="255"/>
          <w:jc w:val="center"/>
        </w:trPr>
        <w:tc>
          <w:tcPr>
            <w:tcW w:w="616" w:type="dxa"/>
            <w:hideMark/>
          </w:tcPr>
          <w:p w14:paraId="770874DF"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5.19.</w:t>
            </w:r>
          </w:p>
        </w:tc>
        <w:tc>
          <w:tcPr>
            <w:tcW w:w="4482" w:type="dxa"/>
            <w:hideMark/>
          </w:tcPr>
          <w:p w14:paraId="1A7899B5"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Служебни карти/превоз на персонала/</w:t>
            </w:r>
          </w:p>
        </w:tc>
        <w:tc>
          <w:tcPr>
            <w:tcW w:w="961" w:type="dxa"/>
            <w:noWrap/>
            <w:hideMark/>
          </w:tcPr>
          <w:p w14:paraId="1FAD70A0"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5BC6629F" w14:textId="70579814"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64C245F3" w14:textId="6B7231D9"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r w:rsidR="00B5447C" w:rsidRPr="00B5447C" w14:paraId="159FB6BC" w14:textId="77777777" w:rsidTr="00610788">
        <w:trPr>
          <w:trHeight w:val="255"/>
          <w:jc w:val="center"/>
        </w:trPr>
        <w:tc>
          <w:tcPr>
            <w:tcW w:w="616" w:type="dxa"/>
            <w:hideMark/>
          </w:tcPr>
          <w:p w14:paraId="55145D31" w14:textId="77777777"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5.20.</w:t>
            </w:r>
          </w:p>
        </w:tc>
        <w:tc>
          <w:tcPr>
            <w:tcW w:w="4482" w:type="dxa"/>
            <w:hideMark/>
          </w:tcPr>
          <w:p w14:paraId="09480D27"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Командировки</w:t>
            </w:r>
          </w:p>
        </w:tc>
        <w:tc>
          <w:tcPr>
            <w:tcW w:w="961" w:type="dxa"/>
            <w:noWrap/>
            <w:hideMark/>
          </w:tcPr>
          <w:p w14:paraId="2C2D374F" w14:textId="77777777" w:rsidR="00B5447C" w:rsidRPr="00B5447C" w:rsidRDefault="00B5447C" w:rsidP="00B5447C">
            <w:pPr>
              <w:tabs>
                <w:tab w:val="num" w:pos="520"/>
              </w:tabs>
              <w:suppressAutoHyphens/>
              <w:jc w:val="both"/>
              <w:rPr>
                <w:rFonts w:ascii="Times New Roman" w:eastAsia="Times New Roman" w:hAnsi="Times New Roman" w:cs="Times New Roman"/>
                <w:sz w:val="20"/>
                <w:szCs w:val="20"/>
                <w:lang w:eastAsia="bg-BG"/>
              </w:rPr>
            </w:pPr>
            <w:r w:rsidRPr="00B5447C">
              <w:rPr>
                <w:rFonts w:ascii="Times New Roman" w:eastAsia="Times New Roman" w:hAnsi="Times New Roman" w:cs="Times New Roman"/>
                <w:sz w:val="20"/>
                <w:szCs w:val="20"/>
                <w:lang w:eastAsia="bg-BG"/>
              </w:rPr>
              <w:t>хил. лв.</w:t>
            </w:r>
          </w:p>
        </w:tc>
        <w:tc>
          <w:tcPr>
            <w:tcW w:w="1570" w:type="dxa"/>
            <w:noWrap/>
          </w:tcPr>
          <w:p w14:paraId="5DAF96A2" w14:textId="16EF31F8"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c>
          <w:tcPr>
            <w:tcW w:w="1438" w:type="dxa"/>
            <w:noWrap/>
          </w:tcPr>
          <w:p w14:paraId="3432A2E3" w14:textId="715CAC5D" w:rsidR="00B5447C" w:rsidRPr="00B5447C" w:rsidRDefault="00B5447C" w:rsidP="008D0AF7">
            <w:pPr>
              <w:tabs>
                <w:tab w:val="num" w:pos="520"/>
              </w:tabs>
              <w:suppressAutoHyphens/>
              <w:jc w:val="center"/>
              <w:rPr>
                <w:rFonts w:ascii="Times New Roman" w:eastAsia="Times New Roman" w:hAnsi="Times New Roman" w:cs="Times New Roman"/>
                <w:sz w:val="20"/>
                <w:szCs w:val="20"/>
                <w:lang w:eastAsia="bg-BG"/>
              </w:rPr>
            </w:pPr>
          </w:p>
        </w:tc>
      </w:tr>
    </w:tbl>
    <w:p w14:paraId="2B31FCBA" w14:textId="77777777" w:rsidR="00B5447C" w:rsidRDefault="00B5447C" w:rsidP="00D86FD8">
      <w:pPr>
        <w:tabs>
          <w:tab w:val="num" w:pos="520"/>
        </w:tabs>
        <w:suppressAutoHyphen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fldChar w:fldCharType="end"/>
      </w:r>
    </w:p>
    <w:p w14:paraId="37B9286A" w14:textId="77777777" w:rsidR="00D53243" w:rsidRPr="00D53243" w:rsidRDefault="009445FB" w:rsidP="001365A2">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3.3.1. </w:t>
      </w:r>
      <w:r w:rsidR="00D53243" w:rsidRPr="00D53243">
        <w:rPr>
          <w:rFonts w:ascii="Times New Roman" w:eastAsia="Times New Roman" w:hAnsi="Times New Roman" w:cs="Times New Roman"/>
          <w:b/>
          <w:sz w:val="24"/>
          <w:szCs w:val="24"/>
          <w:lang w:eastAsia="bg-BG"/>
        </w:rPr>
        <w:t>Разходи за заплати (възнаграждения)</w:t>
      </w:r>
    </w:p>
    <w:p w14:paraId="006F7DA2" w14:textId="2FC1E510" w:rsidR="00D53243" w:rsidRPr="00D53243" w:rsidRDefault="00D53243" w:rsidP="001365A2">
      <w:pPr>
        <w:spacing w:after="120" w:line="240" w:lineRule="auto"/>
        <w:jc w:val="both"/>
        <w:rPr>
          <w:rFonts w:ascii="Times New Roman" w:eastAsia="Times New Roman" w:hAnsi="Times New Roman" w:cs="Times New Roman"/>
          <w:sz w:val="24"/>
          <w:szCs w:val="24"/>
          <w:lang w:eastAsia="bg-BG"/>
        </w:rPr>
      </w:pPr>
      <w:r w:rsidRPr="00D53243">
        <w:rPr>
          <w:rFonts w:ascii="Times New Roman" w:eastAsia="Times New Roman" w:hAnsi="Times New Roman" w:cs="Times New Roman"/>
          <w:sz w:val="24"/>
          <w:szCs w:val="24"/>
          <w:lang w:eastAsia="bg-BG"/>
        </w:rPr>
        <w:lastRenderedPageBreak/>
        <w:t xml:space="preserve">Планираните средства за работни заплати и осигуровки за новия ценови период възлизат на </w:t>
      </w:r>
      <w:r w:rsidR="00EC6894">
        <w:rPr>
          <w:rFonts w:ascii="Times New Roman" w:eastAsia="Times New Roman" w:hAnsi="Times New Roman" w:cs="Times New Roman"/>
          <w:b/>
          <w:sz w:val="24"/>
          <w:szCs w:val="24"/>
          <w:lang w:eastAsia="bg-BG"/>
        </w:rPr>
        <w:t>…………….</w:t>
      </w:r>
      <w:r w:rsidRPr="00D53243">
        <w:rPr>
          <w:rFonts w:ascii="Times New Roman" w:eastAsia="Times New Roman" w:hAnsi="Times New Roman" w:cs="Times New Roman"/>
          <w:b/>
          <w:sz w:val="24"/>
          <w:szCs w:val="24"/>
          <w:lang w:eastAsia="bg-BG"/>
        </w:rPr>
        <w:t xml:space="preserve"> хил.</w:t>
      </w:r>
      <w:r>
        <w:rPr>
          <w:rFonts w:ascii="Times New Roman" w:eastAsia="Times New Roman" w:hAnsi="Times New Roman" w:cs="Times New Roman"/>
          <w:b/>
          <w:sz w:val="24"/>
          <w:szCs w:val="24"/>
          <w:lang w:eastAsia="bg-BG"/>
        </w:rPr>
        <w:t xml:space="preserve"> </w:t>
      </w:r>
      <w:r w:rsidRPr="00D53243">
        <w:rPr>
          <w:rFonts w:ascii="Times New Roman" w:eastAsia="Times New Roman" w:hAnsi="Times New Roman" w:cs="Times New Roman"/>
          <w:b/>
          <w:sz w:val="24"/>
          <w:szCs w:val="24"/>
          <w:lang w:eastAsia="bg-BG"/>
        </w:rPr>
        <w:t>лв</w:t>
      </w:r>
      <w:r w:rsidRPr="00D53243">
        <w:rPr>
          <w:rFonts w:ascii="Times New Roman" w:eastAsia="Times New Roman" w:hAnsi="Times New Roman" w:cs="Times New Roman"/>
          <w:sz w:val="24"/>
          <w:szCs w:val="24"/>
          <w:lang w:eastAsia="bg-BG"/>
        </w:rPr>
        <w:t>. Средствата за работни заплати през нов</w:t>
      </w:r>
      <w:r>
        <w:rPr>
          <w:rFonts w:ascii="Times New Roman" w:eastAsia="Times New Roman" w:hAnsi="Times New Roman" w:cs="Times New Roman"/>
          <w:sz w:val="24"/>
          <w:szCs w:val="24"/>
          <w:lang w:eastAsia="bg-BG"/>
        </w:rPr>
        <w:t>ия ценови пер</w:t>
      </w:r>
      <w:r w:rsidR="008D0AF7">
        <w:rPr>
          <w:rFonts w:ascii="Times New Roman" w:eastAsia="Times New Roman" w:hAnsi="Times New Roman" w:cs="Times New Roman"/>
          <w:sz w:val="24"/>
          <w:szCs w:val="24"/>
          <w:lang w:eastAsia="bg-BG"/>
        </w:rPr>
        <w:t xml:space="preserve">иод </w:t>
      </w:r>
      <w:r w:rsidR="00613D5D" w:rsidRPr="00610788">
        <w:rPr>
          <w:rFonts w:ascii="Times New Roman" w:eastAsia="Times New Roman" w:hAnsi="Times New Roman" w:cs="Times New Roman"/>
          <w:sz w:val="24"/>
          <w:szCs w:val="24"/>
          <w:lang w:eastAsia="bg-BG"/>
        </w:rPr>
        <w:t>…</w:t>
      </w:r>
      <w:r w:rsidR="00613D5D">
        <w:rPr>
          <w:rFonts w:ascii="Times New Roman" w:eastAsia="Times New Roman" w:hAnsi="Times New Roman" w:cs="Times New Roman"/>
          <w:sz w:val="24"/>
          <w:szCs w:val="24"/>
          <w:lang w:eastAsia="bg-BG"/>
        </w:rPr>
        <w:t>……………………………………………..</w:t>
      </w:r>
    </w:p>
    <w:p w14:paraId="5DFDA49E" w14:textId="77777777" w:rsidR="00D53243" w:rsidRPr="00D53243" w:rsidRDefault="009445FB" w:rsidP="001365A2">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3.3.2. </w:t>
      </w:r>
      <w:r w:rsidR="00D53243" w:rsidRPr="00D53243">
        <w:rPr>
          <w:rFonts w:ascii="Times New Roman" w:eastAsia="Times New Roman" w:hAnsi="Times New Roman" w:cs="Times New Roman"/>
          <w:b/>
          <w:sz w:val="24"/>
          <w:szCs w:val="24"/>
          <w:lang w:eastAsia="bg-BG"/>
        </w:rPr>
        <w:t>Разходи, свързани със социални осигуровки и надбавки</w:t>
      </w:r>
    </w:p>
    <w:p w14:paraId="52366FF0" w14:textId="3C7D5288" w:rsidR="00D53243" w:rsidRPr="00D53243" w:rsidRDefault="00D53243" w:rsidP="001365A2">
      <w:pPr>
        <w:spacing w:after="120" w:line="240" w:lineRule="auto"/>
        <w:jc w:val="both"/>
        <w:rPr>
          <w:rFonts w:ascii="Times New Roman" w:eastAsia="Times New Roman" w:hAnsi="Times New Roman" w:cs="Times New Roman"/>
          <w:sz w:val="24"/>
          <w:szCs w:val="24"/>
          <w:lang w:eastAsia="bg-BG"/>
        </w:rPr>
      </w:pPr>
      <w:r w:rsidRPr="00D53243">
        <w:rPr>
          <w:rFonts w:ascii="Times New Roman" w:eastAsia="Times New Roman" w:hAnsi="Times New Roman" w:cs="Times New Roman"/>
          <w:sz w:val="24"/>
          <w:szCs w:val="24"/>
          <w:lang w:eastAsia="bg-BG"/>
        </w:rPr>
        <w:t xml:space="preserve">Разходите свързани със социални осигуровки възлизат на </w:t>
      </w:r>
      <w:r w:rsidR="00EC6894">
        <w:rPr>
          <w:rFonts w:ascii="Times New Roman" w:eastAsia="Times New Roman" w:hAnsi="Times New Roman" w:cs="Times New Roman"/>
          <w:b/>
          <w:sz w:val="24"/>
          <w:szCs w:val="24"/>
          <w:lang w:eastAsia="bg-BG"/>
        </w:rPr>
        <w:t>…………</w:t>
      </w:r>
      <w:r w:rsidRPr="00D53243">
        <w:rPr>
          <w:rFonts w:ascii="Times New Roman" w:eastAsia="Times New Roman" w:hAnsi="Times New Roman" w:cs="Times New Roman"/>
          <w:b/>
          <w:sz w:val="24"/>
          <w:szCs w:val="24"/>
          <w:lang w:eastAsia="bg-BG"/>
        </w:rPr>
        <w:t xml:space="preserve"> хил.</w:t>
      </w:r>
      <w:r w:rsidR="009445FB">
        <w:rPr>
          <w:rFonts w:ascii="Times New Roman" w:eastAsia="Times New Roman" w:hAnsi="Times New Roman" w:cs="Times New Roman"/>
          <w:b/>
          <w:sz w:val="24"/>
          <w:szCs w:val="24"/>
          <w:lang w:eastAsia="bg-BG"/>
        </w:rPr>
        <w:t xml:space="preserve"> </w:t>
      </w:r>
      <w:r w:rsidRPr="00D53243">
        <w:rPr>
          <w:rFonts w:ascii="Times New Roman" w:eastAsia="Times New Roman" w:hAnsi="Times New Roman" w:cs="Times New Roman"/>
          <w:b/>
          <w:sz w:val="24"/>
          <w:szCs w:val="24"/>
          <w:lang w:eastAsia="bg-BG"/>
        </w:rPr>
        <w:t>лв</w:t>
      </w:r>
      <w:r w:rsidRPr="00D53243">
        <w:rPr>
          <w:rFonts w:ascii="Times New Roman" w:eastAsia="Times New Roman" w:hAnsi="Times New Roman" w:cs="Times New Roman"/>
          <w:sz w:val="24"/>
          <w:szCs w:val="24"/>
          <w:lang w:eastAsia="bg-BG"/>
        </w:rPr>
        <w:t>., като тяхната стойност е в съответствие с социално-осигурителното законодателство.</w:t>
      </w:r>
      <w:r w:rsidR="009445FB">
        <w:rPr>
          <w:rFonts w:ascii="Times New Roman" w:eastAsia="Times New Roman" w:hAnsi="Times New Roman" w:cs="Times New Roman"/>
          <w:sz w:val="24"/>
          <w:szCs w:val="24"/>
          <w:lang w:eastAsia="bg-BG"/>
        </w:rPr>
        <w:t xml:space="preserve"> Общата стойност на тези разходи също намалява през новия регулаторен период.</w:t>
      </w:r>
    </w:p>
    <w:p w14:paraId="08CE03E8" w14:textId="77777777" w:rsidR="0084275F" w:rsidRDefault="0084275F" w:rsidP="001365A2">
      <w:pPr>
        <w:spacing w:after="120" w:line="240" w:lineRule="auto"/>
        <w:jc w:val="both"/>
        <w:rPr>
          <w:rFonts w:ascii="Times New Roman" w:eastAsia="Times New Roman" w:hAnsi="Times New Roman" w:cs="Times New Roman"/>
          <w:b/>
          <w:sz w:val="24"/>
          <w:szCs w:val="24"/>
          <w:lang w:eastAsia="bg-BG"/>
        </w:rPr>
      </w:pPr>
    </w:p>
    <w:p w14:paraId="627885FD" w14:textId="77777777" w:rsidR="0084275F" w:rsidRDefault="0084275F" w:rsidP="001365A2">
      <w:pPr>
        <w:spacing w:after="120" w:line="240" w:lineRule="auto"/>
        <w:jc w:val="both"/>
        <w:rPr>
          <w:rFonts w:ascii="Times New Roman" w:eastAsia="Times New Roman" w:hAnsi="Times New Roman" w:cs="Times New Roman"/>
          <w:b/>
          <w:sz w:val="24"/>
          <w:szCs w:val="24"/>
          <w:lang w:eastAsia="bg-BG"/>
        </w:rPr>
      </w:pPr>
    </w:p>
    <w:p w14:paraId="48CD8EB9" w14:textId="77777777" w:rsidR="00D53243" w:rsidRPr="00D53243" w:rsidRDefault="009445FB" w:rsidP="001365A2">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3.3.3. </w:t>
      </w:r>
      <w:r w:rsidR="00D53243" w:rsidRPr="00D53243">
        <w:rPr>
          <w:rFonts w:ascii="Times New Roman" w:eastAsia="Times New Roman" w:hAnsi="Times New Roman" w:cs="Times New Roman"/>
          <w:b/>
          <w:sz w:val="24"/>
          <w:szCs w:val="24"/>
          <w:lang w:eastAsia="bg-BG"/>
        </w:rPr>
        <w:t>Разходи за амортизации</w:t>
      </w:r>
    </w:p>
    <w:p w14:paraId="5C59DD36" w14:textId="4424D339" w:rsidR="00D53243" w:rsidRPr="00D53243" w:rsidRDefault="00D53243" w:rsidP="001365A2">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sidRPr="00D53243">
        <w:rPr>
          <w:rFonts w:ascii="Times New Roman" w:eastAsia="Times New Roman" w:hAnsi="Times New Roman" w:cs="Times New Roman"/>
          <w:sz w:val="24"/>
          <w:szCs w:val="24"/>
          <w:lang w:eastAsia="bg-BG"/>
        </w:rPr>
        <w:t xml:space="preserve">Планираните разходи за амортизации през новия ценови период възлизат на </w:t>
      </w:r>
      <w:r w:rsidR="00EC6894">
        <w:rPr>
          <w:rFonts w:ascii="Times New Roman" w:eastAsia="Times New Roman" w:hAnsi="Times New Roman" w:cs="Times New Roman"/>
          <w:b/>
          <w:sz w:val="24"/>
          <w:szCs w:val="24"/>
          <w:lang w:eastAsia="bg-BG"/>
        </w:rPr>
        <w:t>…………..</w:t>
      </w:r>
      <w:r w:rsidRPr="00D53243">
        <w:rPr>
          <w:rFonts w:ascii="Times New Roman" w:eastAsia="Times New Roman" w:hAnsi="Times New Roman" w:cs="Times New Roman"/>
          <w:b/>
          <w:sz w:val="24"/>
          <w:szCs w:val="24"/>
          <w:lang w:eastAsia="bg-BG"/>
        </w:rPr>
        <w:t xml:space="preserve"> хил.</w:t>
      </w:r>
      <w:r w:rsidR="009445FB">
        <w:rPr>
          <w:rFonts w:ascii="Times New Roman" w:eastAsia="Times New Roman" w:hAnsi="Times New Roman" w:cs="Times New Roman"/>
          <w:sz w:val="24"/>
          <w:szCs w:val="24"/>
          <w:lang w:eastAsia="bg-BG"/>
        </w:rPr>
        <w:t xml:space="preserve"> </w:t>
      </w:r>
      <w:r w:rsidRPr="00D53243">
        <w:rPr>
          <w:rFonts w:ascii="Times New Roman" w:eastAsia="Times New Roman" w:hAnsi="Times New Roman" w:cs="Times New Roman"/>
          <w:b/>
          <w:sz w:val="24"/>
          <w:szCs w:val="24"/>
          <w:lang w:eastAsia="bg-BG"/>
        </w:rPr>
        <w:t>лв</w:t>
      </w:r>
      <w:r w:rsidRPr="00D53243">
        <w:rPr>
          <w:rFonts w:ascii="Times New Roman" w:eastAsia="Times New Roman" w:hAnsi="Times New Roman" w:cs="Times New Roman"/>
          <w:sz w:val="24"/>
          <w:szCs w:val="24"/>
          <w:lang w:eastAsia="bg-BG"/>
        </w:rPr>
        <w:t xml:space="preserve">. Стойността на тази група разходи </w:t>
      </w:r>
      <w:r w:rsidR="008D0AF7">
        <w:rPr>
          <w:rFonts w:ascii="Times New Roman" w:eastAsia="Times New Roman" w:hAnsi="Times New Roman" w:cs="Times New Roman"/>
          <w:sz w:val="24"/>
          <w:szCs w:val="24"/>
          <w:lang w:eastAsia="bg-BG"/>
        </w:rPr>
        <w:t xml:space="preserve">се </w:t>
      </w:r>
      <w:r w:rsidR="00EC6894">
        <w:rPr>
          <w:rFonts w:ascii="Times New Roman" w:eastAsia="Times New Roman" w:hAnsi="Times New Roman" w:cs="Times New Roman"/>
          <w:sz w:val="24"/>
          <w:szCs w:val="24"/>
          <w:lang w:eastAsia="bg-BG"/>
        </w:rPr>
        <w:t>…………….</w:t>
      </w:r>
      <w:r w:rsidR="008D0AF7">
        <w:rPr>
          <w:rFonts w:ascii="Times New Roman" w:eastAsia="Times New Roman" w:hAnsi="Times New Roman" w:cs="Times New Roman"/>
          <w:sz w:val="24"/>
          <w:szCs w:val="24"/>
          <w:lang w:eastAsia="bg-BG"/>
        </w:rPr>
        <w:t>, спрямо отчета за 2020</w:t>
      </w:r>
      <w:r w:rsidRPr="00D53243">
        <w:rPr>
          <w:rFonts w:ascii="Times New Roman" w:eastAsia="Times New Roman" w:hAnsi="Times New Roman" w:cs="Times New Roman"/>
          <w:sz w:val="24"/>
          <w:szCs w:val="24"/>
          <w:lang w:eastAsia="bg-BG"/>
        </w:rPr>
        <w:t xml:space="preserve"> г.</w:t>
      </w:r>
      <w:r w:rsidR="0023124B">
        <w:rPr>
          <w:rFonts w:ascii="Times New Roman" w:eastAsia="Times New Roman" w:hAnsi="Times New Roman" w:cs="Times New Roman"/>
          <w:sz w:val="24"/>
          <w:szCs w:val="24"/>
          <w:lang w:eastAsia="bg-BG"/>
        </w:rPr>
        <w:t xml:space="preserve"> поради </w:t>
      </w:r>
      <w:r w:rsidR="00EC6894">
        <w:rPr>
          <w:rFonts w:ascii="Times New Roman" w:eastAsia="Times New Roman" w:hAnsi="Times New Roman" w:cs="Times New Roman"/>
          <w:sz w:val="24"/>
          <w:szCs w:val="24"/>
          <w:lang w:eastAsia="bg-BG"/>
        </w:rPr>
        <w:t>………………………</w:t>
      </w:r>
      <w:r w:rsidR="001971F4">
        <w:rPr>
          <w:rFonts w:ascii="Times New Roman" w:eastAsia="Times New Roman" w:hAnsi="Times New Roman" w:cs="Times New Roman"/>
          <w:sz w:val="24"/>
          <w:szCs w:val="24"/>
          <w:lang w:eastAsia="bg-BG"/>
        </w:rPr>
        <w:t>.</w:t>
      </w:r>
      <w:r w:rsidRPr="00D53243">
        <w:rPr>
          <w:rFonts w:ascii="Times New Roman" w:eastAsia="Times New Roman" w:hAnsi="Times New Roman" w:cs="Times New Roman"/>
          <w:sz w:val="24"/>
          <w:szCs w:val="24"/>
          <w:lang w:eastAsia="bg-BG"/>
        </w:rPr>
        <w:t xml:space="preserve"> </w:t>
      </w:r>
      <w:r w:rsidR="009445FB" w:rsidRPr="009445FB">
        <w:rPr>
          <w:rFonts w:ascii="Times New Roman" w:eastAsia="Times New Roman" w:hAnsi="Times New Roman" w:cs="Times New Roman"/>
          <w:b/>
          <w:sz w:val="24"/>
          <w:szCs w:val="24"/>
          <w:lang w:eastAsia="bg-BG"/>
        </w:rPr>
        <w:t>П</w:t>
      </w:r>
      <w:r w:rsidRPr="00D53243">
        <w:rPr>
          <w:rFonts w:ascii="Times New Roman" w:eastAsia="Times New Roman" w:hAnsi="Times New Roman" w:cs="Times New Roman"/>
          <w:b/>
          <w:sz w:val="24"/>
          <w:szCs w:val="24"/>
          <w:lang w:eastAsia="bg-BG"/>
        </w:rPr>
        <w:t>риложимата счетоводна политика за тяхното отчитане е съобразена с изискванията на КЕВР за прилагане на линеен метод на амортизация, спрямо полезния живот на активите.</w:t>
      </w:r>
      <w:r w:rsidRPr="00D53243">
        <w:rPr>
          <w:rFonts w:ascii="Times New Roman" w:eastAsia="Times New Roman" w:hAnsi="Times New Roman" w:cs="Times New Roman"/>
          <w:sz w:val="24"/>
          <w:szCs w:val="24"/>
          <w:lang w:eastAsia="bg-BG"/>
        </w:rPr>
        <w:t xml:space="preserve"> Амортизацията на имоти, машини и съоръжения се изчислява, като се използва линейният метод върху оценения полезен живот на отделните групи активи, както следва:</w:t>
      </w:r>
    </w:p>
    <w:tbl>
      <w:tblPr>
        <w:tblW w:w="4554" w:type="pct"/>
        <w:tblInd w:w="708" w:type="dxa"/>
        <w:tblCellMar>
          <w:left w:w="0" w:type="dxa"/>
          <w:right w:w="0" w:type="dxa"/>
        </w:tblCellMar>
        <w:tblLook w:val="0000" w:firstRow="0" w:lastRow="0" w:firstColumn="0" w:lastColumn="0" w:noHBand="0" w:noVBand="0"/>
      </w:tblPr>
      <w:tblGrid>
        <w:gridCol w:w="6174"/>
        <w:gridCol w:w="2089"/>
      </w:tblGrid>
      <w:tr w:rsidR="00D53243" w:rsidRPr="00D53243" w14:paraId="2FF8812D" w14:textId="77777777" w:rsidTr="00084410">
        <w:trPr>
          <w:trHeight w:hRule="exact" w:val="284"/>
        </w:trPr>
        <w:tc>
          <w:tcPr>
            <w:tcW w:w="3736" w:type="pct"/>
            <w:vAlign w:val="bottom"/>
          </w:tcPr>
          <w:p w14:paraId="7E88405F" w14:textId="77777777" w:rsidR="00D53243" w:rsidRPr="00D53243" w:rsidRDefault="00D53243" w:rsidP="00D53243">
            <w:pPr>
              <w:snapToGrid w:val="0"/>
              <w:spacing w:after="0" w:line="240" w:lineRule="auto"/>
              <w:jc w:val="both"/>
              <w:rPr>
                <w:rFonts w:ascii="Times New Roman" w:eastAsia="Times New Roman" w:hAnsi="Times New Roman" w:cs="Times New Roman"/>
                <w:sz w:val="24"/>
                <w:szCs w:val="24"/>
                <w:shd w:val="clear" w:color="auto" w:fill="FFFFFF"/>
              </w:rPr>
            </w:pPr>
            <w:r w:rsidRPr="00D53243">
              <w:rPr>
                <w:rFonts w:ascii="Times New Roman" w:eastAsia="Times New Roman" w:hAnsi="Times New Roman" w:cs="Times New Roman"/>
                <w:sz w:val="24"/>
                <w:szCs w:val="24"/>
                <w:shd w:val="clear" w:color="auto" w:fill="FFFFFF"/>
              </w:rPr>
              <w:t>Сгради</w:t>
            </w:r>
          </w:p>
        </w:tc>
        <w:tc>
          <w:tcPr>
            <w:tcW w:w="1264" w:type="pct"/>
            <w:vAlign w:val="bottom"/>
          </w:tcPr>
          <w:p w14:paraId="4C1A81F5" w14:textId="77777777" w:rsidR="00D53243" w:rsidRPr="00D53243" w:rsidRDefault="00D53243" w:rsidP="00D53243">
            <w:pPr>
              <w:snapToGrid w:val="0"/>
              <w:spacing w:after="0" w:line="240" w:lineRule="auto"/>
              <w:ind w:right="165"/>
              <w:jc w:val="right"/>
              <w:rPr>
                <w:rFonts w:ascii="Times New Roman" w:eastAsia="Times New Roman" w:hAnsi="Times New Roman" w:cs="Times New Roman"/>
                <w:b/>
                <w:bCs/>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10-25 години</w:t>
            </w:r>
          </w:p>
        </w:tc>
      </w:tr>
      <w:tr w:rsidR="00D53243" w:rsidRPr="00D53243" w14:paraId="57C8F535" w14:textId="77777777" w:rsidTr="00084410">
        <w:trPr>
          <w:trHeight w:hRule="exact" w:val="284"/>
        </w:trPr>
        <w:tc>
          <w:tcPr>
            <w:tcW w:w="3736" w:type="pct"/>
            <w:vAlign w:val="bottom"/>
          </w:tcPr>
          <w:p w14:paraId="6B8067C6" w14:textId="77777777" w:rsidR="00D53243" w:rsidRPr="00D53243" w:rsidRDefault="00D53243" w:rsidP="00D53243">
            <w:pPr>
              <w:snapToGrid w:val="0"/>
              <w:spacing w:after="0" w:line="240" w:lineRule="auto"/>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Машини, съоръжения и оборудване</w:t>
            </w:r>
          </w:p>
        </w:tc>
        <w:tc>
          <w:tcPr>
            <w:tcW w:w="1264" w:type="pct"/>
            <w:vAlign w:val="bottom"/>
          </w:tcPr>
          <w:p w14:paraId="3819FB42" w14:textId="77777777" w:rsidR="00D53243" w:rsidRPr="00D53243" w:rsidRDefault="00D53243" w:rsidP="00D53243">
            <w:pPr>
              <w:snapToGrid w:val="0"/>
              <w:spacing w:after="0" w:line="240" w:lineRule="auto"/>
              <w:ind w:right="165"/>
              <w:jc w:val="right"/>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2-25 години</w:t>
            </w:r>
          </w:p>
        </w:tc>
      </w:tr>
      <w:tr w:rsidR="00D53243" w:rsidRPr="00D53243" w14:paraId="73C33A64" w14:textId="77777777" w:rsidTr="00084410">
        <w:trPr>
          <w:trHeight w:hRule="exact" w:val="284"/>
        </w:trPr>
        <w:tc>
          <w:tcPr>
            <w:tcW w:w="3736" w:type="pct"/>
            <w:vAlign w:val="bottom"/>
          </w:tcPr>
          <w:p w14:paraId="5373D11D" w14:textId="77777777" w:rsidR="00D53243" w:rsidRPr="00D53243" w:rsidRDefault="00D53243" w:rsidP="00D53243">
            <w:pPr>
              <w:snapToGrid w:val="0"/>
              <w:spacing w:after="0" w:line="240" w:lineRule="auto"/>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Транспортни средства</w:t>
            </w:r>
          </w:p>
        </w:tc>
        <w:tc>
          <w:tcPr>
            <w:tcW w:w="1264" w:type="pct"/>
            <w:vAlign w:val="bottom"/>
          </w:tcPr>
          <w:p w14:paraId="1D2A1DBA" w14:textId="77777777" w:rsidR="00D53243" w:rsidRPr="00D53243" w:rsidRDefault="00D53243" w:rsidP="00D53243">
            <w:pPr>
              <w:snapToGrid w:val="0"/>
              <w:spacing w:after="0" w:line="240" w:lineRule="auto"/>
              <w:ind w:right="165"/>
              <w:jc w:val="right"/>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4-15 години</w:t>
            </w:r>
          </w:p>
        </w:tc>
      </w:tr>
      <w:tr w:rsidR="00D53243" w:rsidRPr="00D53243" w14:paraId="6C87E9D3" w14:textId="77777777" w:rsidTr="00084410">
        <w:trPr>
          <w:trHeight w:hRule="exact" w:val="310"/>
        </w:trPr>
        <w:tc>
          <w:tcPr>
            <w:tcW w:w="3736" w:type="pct"/>
            <w:vAlign w:val="bottom"/>
          </w:tcPr>
          <w:p w14:paraId="23A3F5A8" w14:textId="77777777" w:rsidR="00D53243" w:rsidRPr="00D53243" w:rsidRDefault="00D53243" w:rsidP="00D53243">
            <w:pPr>
              <w:snapToGrid w:val="0"/>
              <w:spacing w:after="0" w:line="240" w:lineRule="auto"/>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lang w:eastAsia="bg-BG"/>
              </w:rPr>
              <w:t xml:space="preserve">Други </w:t>
            </w:r>
            <w:proofErr w:type="spellStart"/>
            <w:r w:rsidRPr="00D53243">
              <w:rPr>
                <w:rFonts w:ascii="Times New Roman" w:eastAsia="Times New Roman" w:hAnsi="Times New Roman" w:cs="Times New Roman"/>
                <w:sz w:val="24"/>
                <w:szCs w:val="24"/>
                <w:lang w:eastAsia="bg-BG"/>
              </w:rPr>
              <w:t>амортизируеми</w:t>
            </w:r>
            <w:proofErr w:type="spellEnd"/>
            <w:r w:rsidRPr="00D53243">
              <w:rPr>
                <w:rFonts w:ascii="Times New Roman" w:eastAsia="Times New Roman" w:hAnsi="Times New Roman" w:cs="Times New Roman"/>
                <w:sz w:val="24"/>
                <w:szCs w:val="24"/>
                <w:lang w:eastAsia="bg-BG"/>
              </w:rPr>
              <w:t xml:space="preserve"> дълготрайни активи</w:t>
            </w:r>
          </w:p>
        </w:tc>
        <w:tc>
          <w:tcPr>
            <w:tcW w:w="1264" w:type="pct"/>
            <w:vAlign w:val="bottom"/>
          </w:tcPr>
          <w:p w14:paraId="6413F416" w14:textId="77777777" w:rsidR="00D53243" w:rsidRPr="00D53243" w:rsidRDefault="00D53243" w:rsidP="00D53243">
            <w:pPr>
              <w:snapToGrid w:val="0"/>
              <w:spacing w:after="0" w:line="240" w:lineRule="auto"/>
              <w:ind w:right="165"/>
              <w:jc w:val="right"/>
              <w:rPr>
                <w:rFonts w:ascii="Times New Roman" w:eastAsia="Times New Roman" w:hAnsi="Times New Roman" w:cs="Times New Roman"/>
                <w:sz w:val="24"/>
                <w:szCs w:val="24"/>
                <w:shd w:val="clear" w:color="auto" w:fill="FFFFFF"/>
                <w:lang w:eastAsia="bg-BG"/>
              </w:rPr>
            </w:pPr>
            <w:r w:rsidRPr="00D53243">
              <w:rPr>
                <w:rFonts w:ascii="Times New Roman" w:eastAsia="Times New Roman" w:hAnsi="Times New Roman" w:cs="Times New Roman"/>
                <w:sz w:val="24"/>
                <w:szCs w:val="24"/>
                <w:shd w:val="clear" w:color="auto" w:fill="FFFFFF"/>
                <w:lang w:eastAsia="bg-BG"/>
              </w:rPr>
              <w:t>2-7 години</w:t>
            </w:r>
          </w:p>
        </w:tc>
      </w:tr>
    </w:tbl>
    <w:p w14:paraId="44B92948" w14:textId="77777777" w:rsidR="0084275F" w:rsidRDefault="0084275F" w:rsidP="001365A2">
      <w:pPr>
        <w:spacing w:after="120" w:line="240" w:lineRule="auto"/>
        <w:jc w:val="both"/>
        <w:rPr>
          <w:rFonts w:ascii="Times New Roman" w:eastAsia="Times New Roman" w:hAnsi="Times New Roman" w:cs="Times New Roman"/>
          <w:b/>
          <w:sz w:val="24"/>
          <w:szCs w:val="24"/>
          <w:lang w:eastAsia="bg-BG"/>
        </w:rPr>
      </w:pPr>
    </w:p>
    <w:p w14:paraId="615E3B36" w14:textId="77777777" w:rsidR="009445FB" w:rsidRPr="009445FB" w:rsidRDefault="009445FB" w:rsidP="001365A2">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3.3.4. </w:t>
      </w:r>
      <w:r w:rsidRPr="009445FB">
        <w:rPr>
          <w:rFonts w:ascii="Times New Roman" w:eastAsia="Times New Roman" w:hAnsi="Times New Roman" w:cs="Times New Roman"/>
          <w:b/>
          <w:sz w:val="24"/>
          <w:szCs w:val="24"/>
          <w:lang w:eastAsia="bg-BG"/>
        </w:rPr>
        <w:t>Разходи за ремонт</w:t>
      </w:r>
    </w:p>
    <w:p w14:paraId="18EE2474" w14:textId="39E06905" w:rsidR="009445FB" w:rsidRPr="009445FB" w:rsidRDefault="009445FB" w:rsidP="001365A2">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Ремонтната програма за новия регулаторен период</w:t>
      </w:r>
      <w:r w:rsidRPr="009445FB">
        <w:rPr>
          <w:rFonts w:ascii="Times New Roman" w:eastAsia="Times New Roman" w:hAnsi="Times New Roman" w:cs="Times New Roman"/>
          <w:sz w:val="24"/>
          <w:szCs w:val="24"/>
          <w:lang w:eastAsia="bg-BG"/>
        </w:rPr>
        <w:t xml:space="preserve"> е на стойност </w:t>
      </w:r>
      <w:r w:rsidR="00EC6894">
        <w:rPr>
          <w:rFonts w:ascii="Times New Roman" w:eastAsia="Times New Roman" w:hAnsi="Times New Roman" w:cs="Times New Roman"/>
          <w:b/>
          <w:sz w:val="24"/>
          <w:szCs w:val="24"/>
          <w:lang w:eastAsia="bg-BG"/>
        </w:rPr>
        <w:t>…………….</w:t>
      </w:r>
      <w:r w:rsidRPr="009445FB">
        <w:rPr>
          <w:rFonts w:ascii="Times New Roman" w:eastAsia="Times New Roman" w:hAnsi="Times New Roman" w:cs="Times New Roman"/>
          <w:b/>
          <w:sz w:val="24"/>
          <w:szCs w:val="24"/>
          <w:lang w:eastAsia="bg-BG"/>
        </w:rPr>
        <w:t xml:space="preserve"> хил. лв</w:t>
      </w:r>
      <w:r w:rsidRPr="009445FB">
        <w:rPr>
          <w:rFonts w:ascii="Times New Roman" w:eastAsia="Times New Roman" w:hAnsi="Times New Roman" w:cs="Times New Roman"/>
          <w:sz w:val="24"/>
          <w:szCs w:val="24"/>
          <w:lang w:eastAsia="bg-BG"/>
        </w:rPr>
        <w:t xml:space="preserve">. </w:t>
      </w:r>
      <w:r w:rsidR="00EC6894">
        <w:rPr>
          <w:rFonts w:ascii="Times New Roman" w:eastAsia="Times New Roman" w:hAnsi="Times New Roman" w:cs="Times New Roman"/>
          <w:sz w:val="24"/>
          <w:szCs w:val="24"/>
          <w:lang w:eastAsia="bg-BG"/>
        </w:rPr>
        <w:t>…………</w:t>
      </w:r>
      <w:r w:rsidR="00EC6894" w:rsidRPr="009445FB">
        <w:rPr>
          <w:rFonts w:ascii="Times New Roman" w:eastAsia="Times New Roman" w:hAnsi="Times New Roman" w:cs="Times New Roman"/>
          <w:sz w:val="24"/>
          <w:szCs w:val="24"/>
          <w:lang w:eastAsia="bg-BG"/>
        </w:rPr>
        <w:t xml:space="preserve"> </w:t>
      </w:r>
      <w:r w:rsidRPr="009445FB">
        <w:rPr>
          <w:rFonts w:ascii="Times New Roman" w:eastAsia="Times New Roman" w:hAnsi="Times New Roman" w:cs="Times New Roman"/>
          <w:sz w:val="24"/>
          <w:szCs w:val="24"/>
          <w:lang w:eastAsia="bg-BG"/>
        </w:rPr>
        <w:t>на очакваните разходи за ремонти в</w:t>
      </w:r>
      <w:r w:rsidR="008D0AF7">
        <w:rPr>
          <w:rFonts w:ascii="Times New Roman" w:eastAsia="Times New Roman" w:hAnsi="Times New Roman" w:cs="Times New Roman"/>
          <w:sz w:val="24"/>
          <w:szCs w:val="24"/>
          <w:lang w:eastAsia="bg-BG"/>
        </w:rPr>
        <w:t xml:space="preserve"> сравнение с отчетените през 2020</w:t>
      </w:r>
      <w:r w:rsidRPr="009445FB">
        <w:rPr>
          <w:rFonts w:ascii="Times New Roman" w:eastAsia="Times New Roman" w:hAnsi="Times New Roman" w:cs="Times New Roman"/>
          <w:sz w:val="24"/>
          <w:szCs w:val="24"/>
          <w:lang w:eastAsia="bg-BG"/>
        </w:rPr>
        <w:t xml:space="preserve"> г. се дължи на планирани ремонти по основните производствени съоръжения  и ремонти на </w:t>
      </w:r>
      <w:proofErr w:type="spellStart"/>
      <w:r w:rsidRPr="009445FB">
        <w:rPr>
          <w:rFonts w:ascii="Times New Roman" w:eastAsia="Times New Roman" w:hAnsi="Times New Roman" w:cs="Times New Roman"/>
          <w:sz w:val="24"/>
          <w:szCs w:val="24"/>
          <w:lang w:eastAsia="bg-BG"/>
        </w:rPr>
        <w:t>новоизградените</w:t>
      </w:r>
      <w:proofErr w:type="spellEnd"/>
      <w:r w:rsidRPr="009445FB">
        <w:rPr>
          <w:rFonts w:ascii="Times New Roman" w:eastAsia="Times New Roman" w:hAnsi="Times New Roman" w:cs="Times New Roman"/>
          <w:sz w:val="24"/>
          <w:szCs w:val="24"/>
          <w:lang w:eastAsia="bg-BG"/>
        </w:rPr>
        <w:t xml:space="preserve"> съоръжения с екологично предназначение (СОИ).</w:t>
      </w:r>
    </w:p>
    <w:p w14:paraId="2B6DE7B1" w14:textId="69555068" w:rsidR="009445FB" w:rsidRDefault="009445FB" w:rsidP="001365A2">
      <w:pPr>
        <w:spacing w:after="120" w:line="240" w:lineRule="auto"/>
        <w:jc w:val="both"/>
        <w:rPr>
          <w:rFonts w:ascii="Times New Roman" w:eastAsia="Times New Roman" w:hAnsi="Times New Roman" w:cs="Times New Roman"/>
          <w:sz w:val="24"/>
          <w:szCs w:val="24"/>
          <w:lang w:eastAsia="bg-BG"/>
        </w:rPr>
      </w:pPr>
      <w:r w:rsidRPr="009445FB">
        <w:rPr>
          <w:rFonts w:ascii="Times New Roman" w:eastAsia="Times New Roman" w:hAnsi="Times New Roman" w:cs="Times New Roman"/>
          <w:sz w:val="24"/>
          <w:szCs w:val="24"/>
          <w:lang w:eastAsia="bg-BG"/>
        </w:rPr>
        <w:t>Подробна разбивка на ремонтната програма е дадена в отделно приложение.</w:t>
      </w:r>
    </w:p>
    <w:p w14:paraId="325E4AFE" w14:textId="77777777" w:rsidR="009445FB" w:rsidRPr="009445FB" w:rsidRDefault="009445FB" w:rsidP="001365A2">
      <w:pPr>
        <w:spacing w:after="120" w:line="240" w:lineRule="auto"/>
        <w:jc w:val="both"/>
        <w:rPr>
          <w:rFonts w:ascii="Times New Roman" w:eastAsia="Times New Roman" w:hAnsi="Times New Roman" w:cs="Times New Roman"/>
          <w:b/>
          <w:sz w:val="24"/>
          <w:szCs w:val="24"/>
          <w:lang w:eastAsia="bg-BG"/>
        </w:rPr>
      </w:pPr>
      <w:r w:rsidRPr="009445FB">
        <w:rPr>
          <w:rFonts w:ascii="Times New Roman" w:eastAsia="Times New Roman" w:hAnsi="Times New Roman" w:cs="Times New Roman"/>
          <w:b/>
          <w:sz w:val="24"/>
          <w:szCs w:val="24"/>
          <w:lang w:eastAsia="bg-BG"/>
        </w:rPr>
        <w:t>3.3.5. Разходи, пряко свързани с дейността на лицензията</w:t>
      </w:r>
    </w:p>
    <w:p w14:paraId="6A18C4A7" w14:textId="6687671A" w:rsidR="0006500E" w:rsidRDefault="009445FB" w:rsidP="001365A2">
      <w:pPr>
        <w:spacing w:after="120" w:line="240" w:lineRule="auto"/>
        <w:jc w:val="both"/>
        <w:rPr>
          <w:rFonts w:ascii="Times New Roman" w:eastAsia="Times New Roman" w:hAnsi="Times New Roman" w:cs="Times New Roman"/>
          <w:sz w:val="24"/>
          <w:szCs w:val="24"/>
          <w:lang w:eastAsia="bg-BG"/>
        </w:rPr>
      </w:pPr>
      <w:r w:rsidRPr="009445FB">
        <w:rPr>
          <w:rFonts w:ascii="Times New Roman" w:eastAsia="Times New Roman" w:hAnsi="Times New Roman" w:cs="Times New Roman"/>
          <w:sz w:val="24"/>
          <w:szCs w:val="24"/>
          <w:lang w:eastAsia="bg-BG"/>
        </w:rPr>
        <w:t xml:space="preserve">Планираните разходи за новия ценови период възлизат на </w:t>
      </w:r>
      <w:r w:rsidR="00EC6894">
        <w:rPr>
          <w:rFonts w:ascii="Times New Roman" w:eastAsia="Times New Roman" w:hAnsi="Times New Roman" w:cs="Times New Roman"/>
          <w:b/>
          <w:sz w:val="24"/>
          <w:szCs w:val="24"/>
          <w:lang w:eastAsia="bg-BG"/>
        </w:rPr>
        <w:t>…………..</w:t>
      </w:r>
      <w:r w:rsidRPr="009445FB">
        <w:rPr>
          <w:rFonts w:ascii="Times New Roman" w:eastAsia="Times New Roman" w:hAnsi="Times New Roman" w:cs="Times New Roman"/>
          <w:b/>
          <w:sz w:val="24"/>
          <w:szCs w:val="24"/>
          <w:lang w:eastAsia="bg-BG"/>
        </w:rPr>
        <w:t xml:space="preserve"> хил. лв</w:t>
      </w:r>
      <w:r w:rsidR="0006500E">
        <w:rPr>
          <w:rFonts w:ascii="Times New Roman" w:eastAsia="Times New Roman" w:hAnsi="Times New Roman" w:cs="Times New Roman"/>
          <w:sz w:val="24"/>
          <w:szCs w:val="24"/>
          <w:lang w:eastAsia="bg-BG"/>
        </w:rPr>
        <w:t xml:space="preserve">. и се </w:t>
      </w:r>
      <w:r w:rsidR="008D0AF7">
        <w:rPr>
          <w:rFonts w:ascii="Times New Roman" w:eastAsia="Times New Roman" w:hAnsi="Times New Roman" w:cs="Times New Roman"/>
          <w:sz w:val="24"/>
          <w:szCs w:val="24"/>
          <w:lang w:eastAsia="bg-BG"/>
        </w:rPr>
        <w:t>запазват като относително постоянна стойност, спрямо отчетените за 2020</w:t>
      </w:r>
      <w:r w:rsidR="0006500E">
        <w:rPr>
          <w:rFonts w:ascii="Times New Roman" w:eastAsia="Times New Roman" w:hAnsi="Times New Roman" w:cs="Times New Roman"/>
          <w:sz w:val="24"/>
          <w:szCs w:val="24"/>
          <w:lang w:eastAsia="bg-BG"/>
        </w:rPr>
        <w:t xml:space="preserve"> г. </w:t>
      </w:r>
      <w:r w:rsidR="00641066">
        <w:rPr>
          <w:rFonts w:ascii="Times New Roman" w:eastAsia="Times New Roman" w:hAnsi="Times New Roman" w:cs="Times New Roman"/>
          <w:sz w:val="24"/>
          <w:szCs w:val="24"/>
          <w:lang w:eastAsia="bg-BG"/>
        </w:rPr>
        <w:t>Изменението на разходите по видове спрямо отчетените е посочено в справка № 2</w:t>
      </w:r>
      <w:r w:rsidR="0006500E">
        <w:rPr>
          <w:rFonts w:ascii="Times New Roman" w:eastAsia="Times New Roman" w:hAnsi="Times New Roman" w:cs="Times New Roman"/>
          <w:sz w:val="24"/>
          <w:szCs w:val="24"/>
          <w:lang w:eastAsia="bg-BG"/>
        </w:rPr>
        <w:t xml:space="preserve">. </w:t>
      </w:r>
    </w:p>
    <w:p w14:paraId="5663B5CD" w14:textId="77777777" w:rsidR="0006500E" w:rsidRPr="00171DCF" w:rsidRDefault="00171DCF" w:rsidP="001365A2">
      <w:pPr>
        <w:pStyle w:val="ListParagraph"/>
        <w:numPr>
          <w:ilvl w:val="1"/>
          <w:numId w:val="5"/>
        </w:num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D20C05" w:rsidRPr="00171DCF">
        <w:rPr>
          <w:rFonts w:ascii="Times New Roman" w:eastAsia="Times New Roman" w:hAnsi="Times New Roman" w:cs="Times New Roman"/>
          <w:b/>
          <w:sz w:val="24"/>
          <w:szCs w:val="24"/>
          <w:lang w:eastAsia="bg-BG"/>
        </w:rPr>
        <w:t xml:space="preserve">Разходи свързани с </w:t>
      </w:r>
      <w:proofErr w:type="spellStart"/>
      <w:r w:rsidR="00D20C05" w:rsidRPr="00171DCF">
        <w:rPr>
          <w:rFonts w:ascii="Times New Roman" w:eastAsia="Times New Roman" w:hAnsi="Times New Roman" w:cs="Times New Roman"/>
          <w:b/>
          <w:sz w:val="24"/>
          <w:szCs w:val="24"/>
          <w:lang w:eastAsia="bg-BG"/>
        </w:rPr>
        <w:t>нерегулирани</w:t>
      </w:r>
      <w:proofErr w:type="spellEnd"/>
      <w:r w:rsidR="00D20C05" w:rsidRPr="00171DCF">
        <w:rPr>
          <w:rFonts w:ascii="Times New Roman" w:eastAsia="Times New Roman" w:hAnsi="Times New Roman" w:cs="Times New Roman"/>
          <w:b/>
          <w:sz w:val="24"/>
          <w:szCs w:val="24"/>
          <w:lang w:eastAsia="bg-BG"/>
        </w:rPr>
        <w:t xml:space="preserve"> дейности</w:t>
      </w:r>
    </w:p>
    <w:p w14:paraId="6EA268CD" w14:textId="54723DCF" w:rsidR="009445FB" w:rsidRDefault="00D20C05" w:rsidP="001365A2">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тази група разходи се включват всички </w:t>
      </w:r>
      <w:r w:rsidR="000F36FF">
        <w:rPr>
          <w:rFonts w:ascii="Times New Roman" w:eastAsia="Times New Roman" w:hAnsi="Times New Roman" w:cs="Times New Roman"/>
          <w:sz w:val="24"/>
          <w:szCs w:val="24"/>
          <w:lang w:eastAsia="bg-BG"/>
        </w:rPr>
        <w:t>разходи</w:t>
      </w:r>
      <w:r>
        <w:rPr>
          <w:rFonts w:ascii="Times New Roman" w:eastAsia="Times New Roman" w:hAnsi="Times New Roman" w:cs="Times New Roman"/>
          <w:sz w:val="24"/>
          <w:szCs w:val="24"/>
          <w:lang w:eastAsia="bg-BG"/>
        </w:rPr>
        <w:t>, които „ТЕЦ Марица изток 2“ЕАД извършва, но съгласно разпоредбите на Наредба № 1 на КЕВР не участват като ценообразуващ елемент при определяне на цената на електричес</w:t>
      </w:r>
      <w:r w:rsidR="00CD2195">
        <w:rPr>
          <w:rFonts w:ascii="Times New Roman" w:eastAsia="Times New Roman" w:hAnsi="Times New Roman" w:cs="Times New Roman"/>
          <w:sz w:val="24"/>
          <w:szCs w:val="24"/>
          <w:lang w:eastAsia="bg-BG"/>
        </w:rPr>
        <w:t>ката енергия. Такива разходи са: разходи за глоби и санкции, разходи свързани с балансиращ пазар, разходи за дарения, разходи свързани със съдебни спорове, разходи свързани със наложени допълнителни плащани по ЗЕ – вноските във ФСЕЕС и цената за достъп до електропреносната мрежа и др.</w:t>
      </w:r>
    </w:p>
    <w:p w14:paraId="679B63C0" w14:textId="77777777" w:rsidR="00CD2195" w:rsidRDefault="00CD2195" w:rsidP="001365A2">
      <w:pPr>
        <w:spacing w:after="120" w:line="240" w:lineRule="auto"/>
        <w:jc w:val="both"/>
        <w:rPr>
          <w:rFonts w:ascii="Times New Roman" w:eastAsia="Times New Roman" w:hAnsi="Times New Roman" w:cs="Times New Roman"/>
          <w:sz w:val="24"/>
          <w:szCs w:val="24"/>
          <w:lang w:eastAsia="bg-BG"/>
        </w:rPr>
      </w:pPr>
    </w:p>
    <w:tbl>
      <w:tblPr>
        <w:tblStyle w:val="TableGrid"/>
        <w:tblW w:w="5000" w:type="pct"/>
        <w:jc w:val="center"/>
        <w:tblLook w:val="04A0" w:firstRow="1" w:lastRow="0" w:firstColumn="1" w:lastColumn="0" w:noHBand="0" w:noVBand="1"/>
      </w:tblPr>
      <w:tblGrid>
        <w:gridCol w:w="753"/>
        <w:gridCol w:w="4501"/>
        <w:gridCol w:w="1104"/>
        <w:gridCol w:w="1298"/>
        <w:gridCol w:w="1406"/>
      </w:tblGrid>
      <w:tr w:rsidR="008976A6" w:rsidRPr="008976A6" w14:paraId="06EEC086" w14:textId="77777777" w:rsidTr="00610788">
        <w:trPr>
          <w:trHeight w:val="328"/>
          <w:jc w:val="center"/>
        </w:trPr>
        <w:tc>
          <w:tcPr>
            <w:tcW w:w="415" w:type="pct"/>
            <w:hideMark/>
          </w:tcPr>
          <w:p w14:paraId="2E029607" w14:textId="77777777" w:rsidR="008976A6" w:rsidRPr="003F5611" w:rsidRDefault="008976A6" w:rsidP="008976A6">
            <w:pPr>
              <w:jc w:val="both"/>
              <w:rPr>
                <w:rFonts w:ascii="Times New Roman" w:eastAsia="Times New Roman" w:hAnsi="Times New Roman" w:cs="Times New Roman"/>
                <w:b/>
                <w:bCs/>
                <w:sz w:val="20"/>
                <w:szCs w:val="20"/>
                <w:lang w:eastAsia="bg-BG"/>
              </w:rPr>
            </w:pPr>
            <w:r w:rsidRPr="003F5611">
              <w:rPr>
                <w:rFonts w:ascii="Times New Roman" w:eastAsia="Times New Roman" w:hAnsi="Times New Roman" w:cs="Times New Roman"/>
                <w:b/>
                <w:bCs/>
                <w:sz w:val="20"/>
                <w:szCs w:val="20"/>
                <w:lang w:eastAsia="bg-BG"/>
              </w:rPr>
              <w:lastRenderedPageBreak/>
              <w:t>6</w:t>
            </w:r>
          </w:p>
        </w:tc>
        <w:tc>
          <w:tcPr>
            <w:tcW w:w="2483" w:type="pct"/>
            <w:hideMark/>
          </w:tcPr>
          <w:p w14:paraId="3442534D" w14:textId="77777777" w:rsidR="008976A6" w:rsidRPr="003F5611" w:rsidRDefault="008976A6" w:rsidP="008976A6">
            <w:pPr>
              <w:jc w:val="both"/>
              <w:rPr>
                <w:rFonts w:ascii="Times New Roman" w:eastAsia="Times New Roman" w:hAnsi="Times New Roman" w:cs="Times New Roman"/>
                <w:b/>
                <w:bCs/>
                <w:sz w:val="20"/>
                <w:szCs w:val="20"/>
                <w:lang w:eastAsia="bg-BG"/>
              </w:rPr>
            </w:pPr>
            <w:r w:rsidRPr="003F5611">
              <w:rPr>
                <w:rFonts w:ascii="Times New Roman" w:eastAsia="Times New Roman" w:hAnsi="Times New Roman" w:cs="Times New Roman"/>
                <w:b/>
                <w:bCs/>
                <w:sz w:val="20"/>
                <w:szCs w:val="20"/>
                <w:lang w:eastAsia="bg-BG"/>
              </w:rPr>
              <w:t xml:space="preserve">Разходи, свързани с </w:t>
            </w:r>
            <w:proofErr w:type="spellStart"/>
            <w:r w:rsidRPr="003F5611">
              <w:rPr>
                <w:rFonts w:ascii="Times New Roman" w:eastAsia="Times New Roman" w:hAnsi="Times New Roman" w:cs="Times New Roman"/>
                <w:b/>
                <w:bCs/>
                <w:sz w:val="20"/>
                <w:szCs w:val="20"/>
                <w:lang w:eastAsia="bg-BG"/>
              </w:rPr>
              <w:t>нерегулираната</w:t>
            </w:r>
            <w:proofErr w:type="spellEnd"/>
            <w:r w:rsidRPr="003F5611">
              <w:rPr>
                <w:rFonts w:ascii="Times New Roman" w:eastAsia="Times New Roman" w:hAnsi="Times New Roman" w:cs="Times New Roman"/>
                <w:b/>
                <w:bCs/>
                <w:sz w:val="20"/>
                <w:szCs w:val="20"/>
                <w:lang w:eastAsia="bg-BG"/>
              </w:rPr>
              <w:t xml:space="preserve"> дейност</w:t>
            </w:r>
          </w:p>
        </w:tc>
        <w:tc>
          <w:tcPr>
            <w:tcW w:w="609" w:type="pct"/>
            <w:noWrap/>
            <w:hideMark/>
          </w:tcPr>
          <w:p w14:paraId="6F8272C2" w14:textId="77777777" w:rsidR="008976A6" w:rsidRPr="003F5611" w:rsidRDefault="008976A6" w:rsidP="008976A6">
            <w:pPr>
              <w:jc w:val="both"/>
              <w:rPr>
                <w:rFonts w:ascii="Times New Roman" w:eastAsia="Times New Roman" w:hAnsi="Times New Roman" w:cs="Times New Roman"/>
                <w:b/>
                <w:bCs/>
                <w:sz w:val="20"/>
                <w:szCs w:val="20"/>
                <w:lang w:eastAsia="bg-BG"/>
              </w:rPr>
            </w:pPr>
            <w:r w:rsidRPr="003F5611">
              <w:rPr>
                <w:rFonts w:ascii="Times New Roman" w:eastAsia="Times New Roman" w:hAnsi="Times New Roman" w:cs="Times New Roman"/>
                <w:b/>
                <w:bCs/>
                <w:sz w:val="20"/>
                <w:szCs w:val="20"/>
                <w:lang w:eastAsia="bg-BG"/>
              </w:rPr>
              <w:t>хил. лв.</w:t>
            </w:r>
          </w:p>
        </w:tc>
        <w:tc>
          <w:tcPr>
            <w:tcW w:w="716" w:type="pct"/>
            <w:noWrap/>
          </w:tcPr>
          <w:p w14:paraId="7A7968BF" w14:textId="738B3FDC" w:rsidR="008976A6" w:rsidRPr="003F5611" w:rsidRDefault="008976A6" w:rsidP="00B90023">
            <w:pPr>
              <w:jc w:val="center"/>
              <w:rPr>
                <w:rFonts w:ascii="Times New Roman" w:eastAsia="Times New Roman" w:hAnsi="Times New Roman" w:cs="Times New Roman"/>
                <w:b/>
                <w:bCs/>
                <w:sz w:val="20"/>
                <w:szCs w:val="20"/>
                <w:lang w:eastAsia="bg-BG"/>
              </w:rPr>
            </w:pPr>
          </w:p>
        </w:tc>
        <w:tc>
          <w:tcPr>
            <w:tcW w:w="776" w:type="pct"/>
            <w:noWrap/>
          </w:tcPr>
          <w:p w14:paraId="1EB4535C" w14:textId="4CF9112A" w:rsidR="008976A6" w:rsidRPr="003F5611" w:rsidRDefault="008976A6" w:rsidP="00A32B9A">
            <w:pPr>
              <w:jc w:val="center"/>
              <w:rPr>
                <w:rFonts w:ascii="Times New Roman" w:eastAsia="Times New Roman" w:hAnsi="Times New Roman" w:cs="Times New Roman"/>
                <w:b/>
                <w:bCs/>
                <w:sz w:val="20"/>
                <w:szCs w:val="20"/>
                <w:lang w:eastAsia="bg-BG"/>
              </w:rPr>
            </w:pPr>
          </w:p>
        </w:tc>
      </w:tr>
      <w:tr w:rsidR="008976A6" w:rsidRPr="008976A6" w14:paraId="55C0A4B5" w14:textId="77777777" w:rsidTr="00610788">
        <w:trPr>
          <w:trHeight w:val="255"/>
          <w:jc w:val="center"/>
        </w:trPr>
        <w:tc>
          <w:tcPr>
            <w:tcW w:w="415" w:type="pct"/>
            <w:hideMark/>
          </w:tcPr>
          <w:p w14:paraId="105C8ED4"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6.1.</w:t>
            </w:r>
          </w:p>
        </w:tc>
        <w:tc>
          <w:tcPr>
            <w:tcW w:w="2483" w:type="pct"/>
            <w:hideMark/>
          </w:tcPr>
          <w:p w14:paraId="49E00CB1"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Санкции и неустойки държавни органи</w:t>
            </w:r>
          </w:p>
        </w:tc>
        <w:tc>
          <w:tcPr>
            <w:tcW w:w="609" w:type="pct"/>
            <w:noWrap/>
            <w:hideMark/>
          </w:tcPr>
          <w:p w14:paraId="3353CC8D"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30DB066E" w14:textId="0A14515A"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5D926F31" w14:textId="48819C0C"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574D5E50" w14:textId="77777777" w:rsidTr="00610788">
        <w:trPr>
          <w:trHeight w:val="255"/>
          <w:jc w:val="center"/>
        </w:trPr>
        <w:tc>
          <w:tcPr>
            <w:tcW w:w="415" w:type="pct"/>
            <w:hideMark/>
          </w:tcPr>
          <w:p w14:paraId="5A7BA1E6"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6.2.</w:t>
            </w:r>
          </w:p>
        </w:tc>
        <w:tc>
          <w:tcPr>
            <w:tcW w:w="2483" w:type="pct"/>
            <w:hideMark/>
          </w:tcPr>
          <w:p w14:paraId="53FECED8"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Неустойки по договори с контрагенти</w:t>
            </w:r>
          </w:p>
        </w:tc>
        <w:tc>
          <w:tcPr>
            <w:tcW w:w="609" w:type="pct"/>
            <w:noWrap/>
            <w:hideMark/>
          </w:tcPr>
          <w:p w14:paraId="71520996"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7346A684" w14:textId="2F4C5499"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786F0CDC" w14:textId="1E563C10"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550FE10B" w14:textId="77777777" w:rsidTr="00610788">
        <w:trPr>
          <w:trHeight w:val="255"/>
          <w:jc w:val="center"/>
        </w:trPr>
        <w:tc>
          <w:tcPr>
            <w:tcW w:w="415" w:type="pct"/>
            <w:hideMark/>
          </w:tcPr>
          <w:p w14:paraId="4E280FC8"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6.3.</w:t>
            </w:r>
          </w:p>
        </w:tc>
        <w:tc>
          <w:tcPr>
            <w:tcW w:w="2483" w:type="pct"/>
            <w:hideMark/>
          </w:tcPr>
          <w:p w14:paraId="71F25AFF"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 xml:space="preserve">Разходи за обезценка на разход </w:t>
            </w:r>
          </w:p>
        </w:tc>
        <w:tc>
          <w:tcPr>
            <w:tcW w:w="609" w:type="pct"/>
            <w:noWrap/>
            <w:hideMark/>
          </w:tcPr>
          <w:p w14:paraId="7999E5B0"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200D9749" w14:textId="4D7692C0"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44719938" w14:textId="58E8BDF8"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61A5354D" w14:textId="77777777" w:rsidTr="00610788">
        <w:trPr>
          <w:trHeight w:val="255"/>
          <w:jc w:val="center"/>
        </w:trPr>
        <w:tc>
          <w:tcPr>
            <w:tcW w:w="415" w:type="pct"/>
            <w:hideMark/>
          </w:tcPr>
          <w:p w14:paraId="5D394BD2"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6.4.</w:t>
            </w:r>
          </w:p>
        </w:tc>
        <w:tc>
          <w:tcPr>
            <w:tcW w:w="2483" w:type="pct"/>
            <w:hideMark/>
          </w:tcPr>
          <w:p w14:paraId="7A1E958C"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Разходи за ФСЕЕС</w:t>
            </w:r>
          </w:p>
        </w:tc>
        <w:tc>
          <w:tcPr>
            <w:tcW w:w="609" w:type="pct"/>
            <w:noWrap/>
            <w:hideMark/>
          </w:tcPr>
          <w:p w14:paraId="025C0909"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1FD34469" w14:textId="6D4AFA6A"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06F43516" w14:textId="082A641E"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749BFCF3" w14:textId="77777777" w:rsidTr="00610788">
        <w:trPr>
          <w:trHeight w:val="255"/>
          <w:jc w:val="center"/>
        </w:trPr>
        <w:tc>
          <w:tcPr>
            <w:tcW w:w="415" w:type="pct"/>
            <w:hideMark/>
          </w:tcPr>
          <w:p w14:paraId="19FAC08A"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6.5.</w:t>
            </w:r>
          </w:p>
        </w:tc>
        <w:tc>
          <w:tcPr>
            <w:tcW w:w="2483" w:type="pct"/>
            <w:hideMark/>
          </w:tcPr>
          <w:p w14:paraId="43B92162"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Такса цена за достъп до ЕЕС</w:t>
            </w:r>
          </w:p>
        </w:tc>
        <w:tc>
          <w:tcPr>
            <w:tcW w:w="609" w:type="pct"/>
            <w:noWrap/>
            <w:hideMark/>
          </w:tcPr>
          <w:p w14:paraId="30428FBC"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0490DEB1" w14:textId="5D4F8FE3"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44BBD30A" w14:textId="504FF21F"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6822D41D" w14:textId="77777777" w:rsidTr="00610788">
        <w:trPr>
          <w:trHeight w:val="255"/>
          <w:jc w:val="center"/>
        </w:trPr>
        <w:tc>
          <w:tcPr>
            <w:tcW w:w="415" w:type="pct"/>
            <w:hideMark/>
          </w:tcPr>
          <w:p w14:paraId="1F43D9B6"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6.6.</w:t>
            </w:r>
          </w:p>
        </w:tc>
        <w:tc>
          <w:tcPr>
            <w:tcW w:w="2483" w:type="pct"/>
            <w:hideMark/>
          </w:tcPr>
          <w:p w14:paraId="0903D018"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 xml:space="preserve">Други </w:t>
            </w:r>
            <w:proofErr w:type="spellStart"/>
            <w:r w:rsidRPr="003F5611">
              <w:rPr>
                <w:rFonts w:ascii="Times New Roman" w:eastAsia="Times New Roman" w:hAnsi="Times New Roman" w:cs="Times New Roman"/>
                <w:sz w:val="20"/>
                <w:szCs w:val="20"/>
                <w:lang w:eastAsia="bg-BG"/>
              </w:rPr>
              <w:t>нерегул.дейности</w:t>
            </w:r>
            <w:proofErr w:type="spellEnd"/>
            <w:r w:rsidRPr="003F5611">
              <w:rPr>
                <w:rFonts w:ascii="Times New Roman" w:eastAsia="Times New Roman" w:hAnsi="Times New Roman" w:cs="Times New Roman"/>
                <w:sz w:val="20"/>
                <w:szCs w:val="20"/>
                <w:lang w:eastAsia="bg-BG"/>
              </w:rPr>
              <w:t xml:space="preserve"> - спорт и култура</w:t>
            </w:r>
          </w:p>
        </w:tc>
        <w:tc>
          <w:tcPr>
            <w:tcW w:w="609" w:type="pct"/>
            <w:noWrap/>
            <w:hideMark/>
          </w:tcPr>
          <w:p w14:paraId="7252EC4D"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72404007" w14:textId="2608765D"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25E548B3" w14:textId="2DB1A53A"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54B4B061" w14:textId="77777777" w:rsidTr="00610788">
        <w:trPr>
          <w:trHeight w:val="255"/>
          <w:jc w:val="center"/>
        </w:trPr>
        <w:tc>
          <w:tcPr>
            <w:tcW w:w="415" w:type="pct"/>
            <w:hideMark/>
          </w:tcPr>
          <w:p w14:paraId="1B305B9E"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6.7.</w:t>
            </w:r>
          </w:p>
        </w:tc>
        <w:tc>
          <w:tcPr>
            <w:tcW w:w="2483" w:type="pct"/>
            <w:hideMark/>
          </w:tcPr>
          <w:p w14:paraId="29377246"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 xml:space="preserve">Обезценки </w:t>
            </w:r>
            <w:proofErr w:type="spellStart"/>
            <w:r w:rsidRPr="003F5611">
              <w:rPr>
                <w:rFonts w:ascii="Times New Roman" w:eastAsia="Times New Roman" w:hAnsi="Times New Roman" w:cs="Times New Roman"/>
                <w:sz w:val="20"/>
                <w:szCs w:val="20"/>
                <w:lang w:eastAsia="bg-BG"/>
              </w:rPr>
              <w:t>търг.взем</w:t>
            </w:r>
            <w:proofErr w:type="spellEnd"/>
            <w:r w:rsidRPr="003F5611">
              <w:rPr>
                <w:rFonts w:ascii="Times New Roman" w:eastAsia="Times New Roman" w:hAnsi="Times New Roman" w:cs="Times New Roman"/>
                <w:sz w:val="20"/>
                <w:szCs w:val="20"/>
                <w:lang w:eastAsia="bg-BG"/>
              </w:rPr>
              <w:t>. съдебни дела МСФО 9</w:t>
            </w:r>
          </w:p>
        </w:tc>
        <w:tc>
          <w:tcPr>
            <w:tcW w:w="609" w:type="pct"/>
            <w:noWrap/>
            <w:hideMark/>
          </w:tcPr>
          <w:p w14:paraId="4F27B1E8"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40E10040" w14:textId="131C7AF0"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12D37177" w14:textId="46A50CFF"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56FCEDE8" w14:textId="77777777" w:rsidTr="00610788">
        <w:trPr>
          <w:trHeight w:val="255"/>
          <w:jc w:val="center"/>
        </w:trPr>
        <w:tc>
          <w:tcPr>
            <w:tcW w:w="415" w:type="pct"/>
            <w:hideMark/>
          </w:tcPr>
          <w:p w14:paraId="32DF6463"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6.7.</w:t>
            </w:r>
          </w:p>
        </w:tc>
        <w:tc>
          <w:tcPr>
            <w:tcW w:w="2483" w:type="pct"/>
            <w:noWrap/>
            <w:hideMark/>
          </w:tcPr>
          <w:p w14:paraId="3F1AFA10"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Провизии за емисии квоти</w:t>
            </w:r>
          </w:p>
        </w:tc>
        <w:tc>
          <w:tcPr>
            <w:tcW w:w="609" w:type="pct"/>
            <w:noWrap/>
            <w:hideMark/>
          </w:tcPr>
          <w:p w14:paraId="08F81853"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30C9D9D5" w14:textId="44F07B3D"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4AB68443" w14:textId="58B49C84" w:rsidR="008976A6" w:rsidRPr="003F5611" w:rsidRDefault="008976A6" w:rsidP="008976A6">
            <w:pPr>
              <w:jc w:val="both"/>
              <w:rPr>
                <w:rFonts w:ascii="Times New Roman" w:eastAsia="Times New Roman" w:hAnsi="Times New Roman" w:cs="Times New Roman"/>
                <w:sz w:val="20"/>
                <w:szCs w:val="20"/>
                <w:lang w:eastAsia="bg-BG"/>
              </w:rPr>
            </w:pPr>
          </w:p>
        </w:tc>
      </w:tr>
      <w:tr w:rsidR="008976A6" w:rsidRPr="008976A6" w14:paraId="7F913187" w14:textId="77777777" w:rsidTr="00610788">
        <w:trPr>
          <w:trHeight w:val="255"/>
          <w:jc w:val="center"/>
        </w:trPr>
        <w:tc>
          <w:tcPr>
            <w:tcW w:w="415" w:type="pct"/>
            <w:hideMark/>
          </w:tcPr>
          <w:p w14:paraId="403FC8E1"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6.8.</w:t>
            </w:r>
          </w:p>
        </w:tc>
        <w:tc>
          <w:tcPr>
            <w:tcW w:w="2483" w:type="pct"/>
            <w:hideMark/>
          </w:tcPr>
          <w:p w14:paraId="6A0A3348"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Разходи за данъци</w:t>
            </w:r>
          </w:p>
        </w:tc>
        <w:tc>
          <w:tcPr>
            <w:tcW w:w="609" w:type="pct"/>
            <w:noWrap/>
            <w:hideMark/>
          </w:tcPr>
          <w:p w14:paraId="245E3F4E"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4EAF4743" w14:textId="23E54720"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354DAA76" w14:textId="2DE661EE"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709449C4" w14:textId="77777777" w:rsidTr="00610788">
        <w:trPr>
          <w:trHeight w:val="255"/>
          <w:jc w:val="center"/>
        </w:trPr>
        <w:tc>
          <w:tcPr>
            <w:tcW w:w="415" w:type="pct"/>
            <w:hideMark/>
          </w:tcPr>
          <w:p w14:paraId="0025FEE2"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6.9.</w:t>
            </w:r>
          </w:p>
        </w:tc>
        <w:tc>
          <w:tcPr>
            <w:tcW w:w="2483" w:type="pct"/>
            <w:hideMark/>
          </w:tcPr>
          <w:p w14:paraId="4CAFDAE0"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Разходи за дарения</w:t>
            </w:r>
          </w:p>
        </w:tc>
        <w:tc>
          <w:tcPr>
            <w:tcW w:w="609" w:type="pct"/>
            <w:noWrap/>
            <w:hideMark/>
          </w:tcPr>
          <w:p w14:paraId="116C94C0"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0D9355A8" w14:textId="7A47AFFD"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6849C194" w14:textId="2B377685"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160586BC" w14:textId="77777777" w:rsidTr="00610788">
        <w:trPr>
          <w:trHeight w:val="255"/>
          <w:jc w:val="center"/>
        </w:trPr>
        <w:tc>
          <w:tcPr>
            <w:tcW w:w="415" w:type="pct"/>
            <w:hideMark/>
          </w:tcPr>
          <w:p w14:paraId="03DEDFD7"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6.10.</w:t>
            </w:r>
          </w:p>
        </w:tc>
        <w:tc>
          <w:tcPr>
            <w:tcW w:w="2483" w:type="pct"/>
            <w:hideMark/>
          </w:tcPr>
          <w:p w14:paraId="183DE37F"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Разходи за лихви просрочени плащания</w:t>
            </w:r>
          </w:p>
        </w:tc>
        <w:tc>
          <w:tcPr>
            <w:tcW w:w="609" w:type="pct"/>
            <w:noWrap/>
            <w:hideMark/>
          </w:tcPr>
          <w:p w14:paraId="194D2EF2"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410EA90B" w14:textId="09CA9EAB"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6A77EE80" w14:textId="590E422D"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1C96703F" w14:textId="77777777" w:rsidTr="00610788">
        <w:trPr>
          <w:trHeight w:val="255"/>
          <w:jc w:val="center"/>
        </w:trPr>
        <w:tc>
          <w:tcPr>
            <w:tcW w:w="415" w:type="pct"/>
            <w:hideMark/>
          </w:tcPr>
          <w:p w14:paraId="6D0E92CA"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6.11.</w:t>
            </w:r>
          </w:p>
        </w:tc>
        <w:tc>
          <w:tcPr>
            <w:tcW w:w="2483" w:type="pct"/>
            <w:hideMark/>
          </w:tcPr>
          <w:p w14:paraId="63224DEF"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Разходи за дохода при пенсиониране</w:t>
            </w:r>
          </w:p>
        </w:tc>
        <w:tc>
          <w:tcPr>
            <w:tcW w:w="609" w:type="pct"/>
            <w:noWrap/>
            <w:hideMark/>
          </w:tcPr>
          <w:p w14:paraId="3614C216"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55668DEC" w14:textId="3D35AB23"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5A5F7EF5" w14:textId="4EF32D37"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57C93771" w14:textId="77777777" w:rsidTr="00610788">
        <w:trPr>
          <w:trHeight w:val="255"/>
          <w:jc w:val="center"/>
        </w:trPr>
        <w:tc>
          <w:tcPr>
            <w:tcW w:w="415" w:type="pct"/>
            <w:hideMark/>
          </w:tcPr>
          <w:p w14:paraId="525CE24C"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6.12.</w:t>
            </w:r>
          </w:p>
        </w:tc>
        <w:tc>
          <w:tcPr>
            <w:tcW w:w="2483" w:type="pct"/>
            <w:hideMark/>
          </w:tcPr>
          <w:p w14:paraId="50626D67"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Разходи за брак и други несвързани разходи</w:t>
            </w:r>
          </w:p>
        </w:tc>
        <w:tc>
          <w:tcPr>
            <w:tcW w:w="609" w:type="pct"/>
            <w:noWrap/>
            <w:hideMark/>
          </w:tcPr>
          <w:p w14:paraId="6B0BE28E"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41FF4F22" w14:textId="621A661A"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7A8B9467" w14:textId="29CBEC75"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53F41076" w14:textId="77777777" w:rsidTr="00610788">
        <w:trPr>
          <w:trHeight w:val="255"/>
          <w:jc w:val="center"/>
        </w:trPr>
        <w:tc>
          <w:tcPr>
            <w:tcW w:w="415" w:type="pct"/>
            <w:hideMark/>
          </w:tcPr>
          <w:p w14:paraId="5D60C5FC"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6.13.</w:t>
            </w:r>
          </w:p>
        </w:tc>
        <w:tc>
          <w:tcPr>
            <w:tcW w:w="2483" w:type="pct"/>
            <w:hideMark/>
          </w:tcPr>
          <w:p w14:paraId="64984FE0"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Обезценка на ДМА и материални запаси</w:t>
            </w:r>
          </w:p>
        </w:tc>
        <w:tc>
          <w:tcPr>
            <w:tcW w:w="609" w:type="pct"/>
            <w:noWrap/>
            <w:hideMark/>
          </w:tcPr>
          <w:p w14:paraId="423D43D4"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435FF4BB" w14:textId="0F3B0565"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533C862B" w14:textId="664AB2B4"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5586B430" w14:textId="77777777" w:rsidTr="00610788">
        <w:trPr>
          <w:trHeight w:val="255"/>
          <w:jc w:val="center"/>
        </w:trPr>
        <w:tc>
          <w:tcPr>
            <w:tcW w:w="415" w:type="pct"/>
            <w:hideMark/>
          </w:tcPr>
          <w:p w14:paraId="55286DD6"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6.14.</w:t>
            </w:r>
          </w:p>
        </w:tc>
        <w:tc>
          <w:tcPr>
            <w:tcW w:w="2483" w:type="pct"/>
            <w:hideMark/>
          </w:tcPr>
          <w:p w14:paraId="0B0A84F6"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Такси организиран борсов пазар БНЕБ</w:t>
            </w:r>
          </w:p>
        </w:tc>
        <w:tc>
          <w:tcPr>
            <w:tcW w:w="609" w:type="pct"/>
            <w:noWrap/>
            <w:hideMark/>
          </w:tcPr>
          <w:p w14:paraId="2D9B7928"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4083B851" w14:textId="5AB69A60"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1842CB87" w14:textId="2A4D3FCD"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5F45D7FB" w14:textId="77777777" w:rsidTr="00610788">
        <w:trPr>
          <w:trHeight w:val="450"/>
          <w:jc w:val="center"/>
        </w:trPr>
        <w:tc>
          <w:tcPr>
            <w:tcW w:w="415" w:type="pct"/>
            <w:hideMark/>
          </w:tcPr>
          <w:p w14:paraId="2BBB6D7B"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6.15.</w:t>
            </w:r>
          </w:p>
        </w:tc>
        <w:tc>
          <w:tcPr>
            <w:tcW w:w="2483" w:type="pct"/>
            <w:hideMark/>
          </w:tcPr>
          <w:p w14:paraId="5063CB91" w14:textId="62357E71" w:rsidR="008976A6" w:rsidRPr="003F5611" w:rsidRDefault="008976A6" w:rsidP="005B5BC0">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Разходи за балансир</w:t>
            </w:r>
            <w:r w:rsidR="005B5BC0">
              <w:rPr>
                <w:rFonts w:ascii="Times New Roman" w:eastAsia="Times New Roman" w:hAnsi="Times New Roman" w:cs="Times New Roman"/>
                <w:sz w:val="20"/>
                <w:szCs w:val="20"/>
                <w:lang w:eastAsia="bg-BG"/>
              </w:rPr>
              <w:t>аща</w:t>
            </w:r>
            <w:r w:rsidRPr="003F5611">
              <w:rPr>
                <w:rFonts w:ascii="Times New Roman" w:eastAsia="Times New Roman" w:hAnsi="Times New Roman" w:cs="Times New Roman"/>
                <w:sz w:val="20"/>
                <w:szCs w:val="20"/>
                <w:lang w:eastAsia="bg-BG"/>
              </w:rPr>
              <w:t xml:space="preserve"> енергия недостиг ЕСО</w:t>
            </w:r>
          </w:p>
        </w:tc>
        <w:tc>
          <w:tcPr>
            <w:tcW w:w="609" w:type="pct"/>
            <w:noWrap/>
            <w:hideMark/>
          </w:tcPr>
          <w:p w14:paraId="1F85693F"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5C235B1E" w14:textId="709556AA"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536B87CE" w14:textId="2C2AA4A1" w:rsidR="008976A6" w:rsidRPr="003F5611" w:rsidRDefault="008976A6" w:rsidP="00B90023">
            <w:pPr>
              <w:jc w:val="center"/>
              <w:rPr>
                <w:rFonts w:ascii="Times New Roman" w:eastAsia="Times New Roman" w:hAnsi="Times New Roman" w:cs="Times New Roman"/>
                <w:sz w:val="20"/>
                <w:szCs w:val="20"/>
                <w:lang w:eastAsia="bg-BG"/>
              </w:rPr>
            </w:pPr>
          </w:p>
        </w:tc>
      </w:tr>
      <w:tr w:rsidR="008976A6" w:rsidRPr="008976A6" w14:paraId="78781DFF" w14:textId="77777777" w:rsidTr="00610788">
        <w:trPr>
          <w:trHeight w:val="450"/>
          <w:jc w:val="center"/>
        </w:trPr>
        <w:tc>
          <w:tcPr>
            <w:tcW w:w="415" w:type="pct"/>
            <w:hideMark/>
          </w:tcPr>
          <w:p w14:paraId="157B927A"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6.16.</w:t>
            </w:r>
          </w:p>
        </w:tc>
        <w:tc>
          <w:tcPr>
            <w:tcW w:w="2483" w:type="pct"/>
            <w:hideMark/>
          </w:tcPr>
          <w:p w14:paraId="40AF0113"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Разходи за регулиране надолу ЕСО</w:t>
            </w:r>
          </w:p>
        </w:tc>
        <w:tc>
          <w:tcPr>
            <w:tcW w:w="609" w:type="pct"/>
            <w:noWrap/>
            <w:hideMark/>
          </w:tcPr>
          <w:p w14:paraId="14C91CEF" w14:textId="77777777" w:rsidR="008976A6" w:rsidRPr="003F5611" w:rsidRDefault="008976A6" w:rsidP="008976A6">
            <w:pPr>
              <w:jc w:val="both"/>
              <w:rPr>
                <w:rFonts w:ascii="Times New Roman" w:eastAsia="Times New Roman" w:hAnsi="Times New Roman" w:cs="Times New Roman"/>
                <w:sz w:val="20"/>
                <w:szCs w:val="20"/>
                <w:lang w:eastAsia="bg-BG"/>
              </w:rPr>
            </w:pPr>
            <w:r w:rsidRPr="003F5611">
              <w:rPr>
                <w:rFonts w:ascii="Times New Roman" w:eastAsia="Times New Roman" w:hAnsi="Times New Roman" w:cs="Times New Roman"/>
                <w:sz w:val="20"/>
                <w:szCs w:val="20"/>
                <w:lang w:eastAsia="bg-BG"/>
              </w:rPr>
              <w:t>хил. лв.</w:t>
            </w:r>
          </w:p>
        </w:tc>
        <w:tc>
          <w:tcPr>
            <w:tcW w:w="716" w:type="pct"/>
            <w:noWrap/>
          </w:tcPr>
          <w:p w14:paraId="0267A6F0" w14:textId="7AFA8B7A" w:rsidR="008976A6" w:rsidRPr="003F5611" w:rsidRDefault="008976A6" w:rsidP="00B90023">
            <w:pPr>
              <w:jc w:val="center"/>
              <w:rPr>
                <w:rFonts w:ascii="Times New Roman" w:eastAsia="Times New Roman" w:hAnsi="Times New Roman" w:cs="Times New Roman"/>
                <w:sz w:val="20"/>
                <w:szCs w:val="20"/>
                <w:lang w:eastAsia="bg-BG"/>
              </w:rPr>
            </w:pPr>
          </w:p>
        </w:tc>
        <w:tc>
          <w:tcPr>
            <w:tcW w:w="776" w:type="pct"/>
            <w:noWrap/>
          </w:tcPr>
          <w:p w14:paraId="5D7BFBCF" w14:textId="78C5C319" w:rsidR="008976A6" w:rsidRPr="003F5611" w:rsidRDefault="008976A6" w:rsidP="00B90023">
            <w:pPr>
              <w:jc w:val="center"/>
              <w:rPr>
                <w:rFonts w:ascii="Times New Roman" w:eastAsia="Times New Roman" w:hAnsi="Times New Roman" w:cs="Times New Roman"/>
                <w:sz w:val="20"/>
                <w:szCs w:val="20"/>
                <w:lang w:eastAsia="bg-BG"/>
              </w:rPr>
            </w:pPr>
          </w:p>
        </w:tc>
      </w:tr>
    </w:tbl>
    <w:p w14:paraId="090E424E" w14:textId="77777777" w:rsidR="008976A6" w:rsidRDefault="008976A6" w:rsidP="001365A2">
      <w:pPr>
        <w:spacing w:after="120" w:line="240" w:lineRule="auto"/>
        <w:jc w:val="both"/>
        <w:rPr>
          <w:rFonts w:ascii="Times New Roman" w:eastAsia="Times New Roman" w:hAnsi="Times New Roman" w:cs="Times New Roman"/>
          <w:sz w:val="24"/>
          <w:szCs w:val="24"/>
          <w:lang w:eastAsia="bg-BG"/>
        </w:rPr>
      </w:pPr>
    </w:p>
    <w:p w14:paraId="4F4EB083" w14:textId="1DF40543" w:rsidR="00CD2195" w:rsidRDefault="00CD2195" w:rsidP="001365A2">
      <w:p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За новия регулаторен период в тази </w:t>
      </w:r>
      <w:r w:rsidR="00641066">
        <w:rPr>
          <w:rFonts w:ascii="Times New Roman" w:eastAsia="Times New Roman" w:hAnsi="Times New Roman" w:cs="Times New Roman"/>
          <w:sz w:val="24"/>
          <w:szCs w:val="24"/>
          <w:lang w:eastAsia="bg-BG"/>
        </w:rPr>
        <w:t xml:space="preserve">група разходи са включени </w:t>
      </w:r>
      <w:r w:rsidR="00EC6894">
        <w:rPr>
          <w:rFonts w:ascii="Times New Roman" w:eastAsia="Times New Roman" w:hAnsi="Times New Roman" w:cs="Times New Roman"/>
          <w:b/>
          <w:sz w:val="24"/>
          <w:szCs w:val="24"/>
          <w:lang w:eastAsia="bg-BG"/>
        </w:rPr>
        <w:t>………….</w:t>
      </w:r>
      <w:r w:rsidRPr="00641066">
        <w:rPr>
          <w:rFonts w:ascii="Times New Roman" w:eastAsia="Times New Roman" w:hAnsi="Times New Roman" w:cs="Times New Roman"/>
          <w:b/>
          <w:sz w:val="24"/>
          <w:szCs w:val="24"/>
          <w:lang w:eastAsia="bg-BG"/>
        </w:rPr>
        <w:t xml:space="preserve"> хил. лв.</w:t>
      </w:r>
      <w:r>
        <w:rPr>
          <w:rFonts w:ascii="Times New Roman" w:eastAsia="Times New Roman" w:hAnsi="Times New Roman" w:cs="Times New Roman"/>
          <w:sz w:val="24"/>
          <w:szCs w:val="24"/>
          <w:lang w:eastAsia="bg-BG"/>
        </w:rPr>
        <w:t xml:space="preserve">, като с основна значимост са вноските във ФСЕЕС – </w:t>
      </w:r>
      <w:r w:rsidR="00EC6894">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хил. лв. и разходите, свързани с цената за достъп до </w:t>
      </w:r>
      <w:r w:rsidR="00641066">
        <w:rPr>
          <w:rFonts w:ascii="Times New Roman" w:eastAsia="Times New Roman" w:hAnsi="Times New Roman" w:cs="Times New Roman"/>
          <w:sz w:val="24"/>
          <w:szCs w:val="24"/>
          <w:lang w:eastAsia="bg-BG"/>
        </w:rPr>
        <w:t xml:space="preserve">електропреносната мрежа – </w:t>
      </w:r>
      <w:r w:rsidR="00EC6894">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хил. лв. </w:t>
      </w:r>
      <w:r w:rsidRPr="00CD2195">
        <w:rPr>
          <w:rFonts w:ascii="Times New Roman" w:eastAsia="Times New Roman" w:hAnsi="Times New Roman" w:cs="Times New Roman"/>
          <w:b/>
          <w:sz w:val="24"/>
          <w:szCs w:val="24"/>
          <w:lang w:eastAsia="bg-BG"/>
        </w:rPr>
        <w:t>Общата стойност н</w:t>
      </w:r>
      <w:r w:rsidR="00641066">
        <w:rPr>
          <w:rFonts w:ascii="Times New Roman" w:eastAsia="Times New Roman" w:hAnsi="Times New Roman" w:cs="Times New Roman"/>
          <w:b/>
          <w:sz w:val="24"/>
          <w:szCs w:val="24"/>
          <w:lang w:eastAsia="bg-BG"/>
        </w:rPr>
        <w:t xml:space="preserve">а тези два вида разходи е </w:t>
      </w:r>
      <w:r w:rsidR="00EC6894">
        <w:rPr>
          <w:rFonts w:ascii="Times New Roman" w:eastAsia="Times New Roman" w:hAnsi="Times New Roman" w:cs="Times New Roman"/>
          <w:b/>
          <w:sz w:val="24"/>
          <w:szCs w:val="24"/>
          <w:lang w:eastAsia="bg-BG"/>
        </w:rPr>
        <w:t>…………..</w:t>
      </w:r>
      <w:r w:rsidRPr="00CD2195">
        <w:rPr>
          <w:rFonts w:ascii="Times New Roman" w:eastAsia="Times New Roman" w:hAnsi="Times New Roman" w:cs="Times New Roman"/>
          <w:b/>
          <w:sz w:val="24"/>
          <w:szCs w:val="24"/>
          <w:lang w:eastAsia="bg-BG"/>
        </w:rPr>
        <w:t xml:space="preserve"> хил. лв., която увеличава себестойността на произвежда</w:t>
      </w:r>
      <w:r w:rsidR="00641066">
        <w:rPr>
          <w:rFonts w:ascii="Times New Roman" w:eastAsia="Times New Roman" w:hAnsi="Times New Roman" w:cs="Times New Roman"/>
          <w:b/>
          <w:sz w:val="24"/>
          <w:szCs w:val="24"/>
          <w:lang w:eastAsia="bg-BG"/>
        </w:rPr>
        <w:t xml:space="preserve">ната електрическа енергия с </w:t>
      </w:r>
      <w:r w:rsidR="00EC6894">
        <w:rPr>
          <w:rFonts w:ascii="Times New Roman" w:eastAsia="Times New Roman" w:hAnsi="Times New Roman" w:cs="Times New Roman"/>
          <w:b/>
          <w:sz w:val="24"/>
          <w:szCs w:val="24"/>
          <w:lang w:eastAsia="bg-BG"/>
        </w:rPr>
        <w:t>………….</w:t>
      </w:r>
      <w:r w:rsidRPr="00CD2195">
        <w:rPr>
          <w:rFonts w:ascii="Times New Roman" w:eastAsia="Times New Roman" w:hAnsi="Times New Roman" w:cs="Times New Roman"/>
          <w:b/>
          <w:sz w:val="24"/>
          <w:szCs w:val="24"/>
          <w:lang w:eastAsia="bg-BG"/>
        </w:rPr>
        <w:t xml:space="preserve"> лв./</w:t>
      </w:r>
      <w:proofErr w:type="spellStart"/>
      <w:r w:rsidRPr="00CD2195">
        <w:rPr>
          <w:rFonts w:ascii="Times New Roman" w:eastAsia="Times New Roman" w:hAnsi="Times New Roman" w:cs="Times New Roman"/>
          <w:b/>
          <w:sz w:val="24"/>
          <w:szCs w:val="24"/>
          <w:lang w:eastAsia="bg-BG"/>
        </w:rPr>
        <w:t>МВтч</w:t>
      </w:r>
      <w:proofErr w:type="spellEnd"/>
      <w:r w:rsidRPr="00CD2195">
        <w:rPr>
          <w:rFonts w:ascii="Times New Roman" w:eastAsia="Times New Roman" w:hAnsi="Times New Roman" w:cs="Times New Roman"/>
          <w:b/>
          <w:sz w:val="24"/>
          <w:szCs w:val="24"/>
          <w:lang w:eastAsia="bg-BG"/>
        </w:rPr>
        <w:t>.</w:t>
      </w:r>
    </w:p>
    <w:p w14:paraId="18D683C9" w14:textId="77777777" w:rsidR="00CD2195" w:rsidRDefault="00CD2195" w:rsidP="001365A2">
      <w:pPr>
        <w:spacing w:after="120" w:line="240" w:lineRule="auto"/>
        <w:jc w:val="both"/>
        <w:rPr>
          <w:rFonts w:ascii="Times New Roman" w:eastAsia="Times New Roman" w:hAnsi="Times New Roman" w:cs="Times New Roman"/>
          <w:b/>
          <w:sz w:val="24"/>
          <w:szCs w:val="24"/>
          <w:lang w:eastAsia="bg-BG"/>
        </w:rPr>
      </w:pPr>
    </w:p>
    <w:p w14:paraId="788A6299" w14:textId="77777777" w:rsidR="00CD2195" w:rsidRPr="00CD2195" w:rsidRDefault="00CD2195" w:rsidP="001365A2">
      <w:pPr>
        <w:spacing w:after="120" w:line="240" w:lineRule="auto"/>
        <w:jc w:val="both"/>
        <w:rPr>
          <w:rFonts w:ascii="Times New Roman" w:eastAsia="Times New Roman" w:hAnsi="Times New Roman" w:cs="Times New Roman"/>
          <w:b/>
          <w:sz w:val="24"/>
          <w:szCs w:val="24"/>
          <w:lang w:eastAsia="bg-BG"/>
        </w:rPr>
      </w:pPr>
      <w:r w:rsidRPr="00CD2195">
        <w:rPr>
          <w:rFonts w:ascii="Times New Roman" w:eastAsia="Times New Roman" w:hAnsi="Times New Roman" w:cs="Times New Roman"/>
          <w:b/>
          <w:sz w:val="24"/>
          <w:szCs w:val="24"/>
          <w:lang w:eastAsia="bg-BG"/>
        </w:rPr>
        <w:t>3.</w:t>
      </w:r>
      <w:r w:rsidR="00171DCF" w:rsidRPr="00171DCF">
        <w:rPr>
          <w:rFonts w:ascii="Times New Roman" w:eastAsia="Times New Roman" w:hAnsi="Times New Roman" w:cs="Times New Roman"/>
          <w:b/>
          <w:sz w:val="24"/>
          <w:szCs w:val="24"/>
          <w:lang w:eastAsia="bg-BG"/>
        </w:rPr>
        <w:t>5</w:t>
      </w:r>
      <w:r w:rsidRPr="00CD2195">
        <w:rPr>
          <w:rFonts w:ascii="Times New Roman" w:eastAsia="Times New Roman" w:hAnsi="Times New Roman" w:cs="Times New Roman"/>
          <w:b/>
          <w:sz w:val="24"/>
          <w:szCs w:val="24"/>
          <w:lang w:eastAsia="bg-BG"/>
        </w:rPr>
        <w:t>. Регулаторна база на активите и норма на възвръщаемост на капитала</w:t>
      </w:r>
    </w:p>
    <w:p w14:paraId="39D716CC" w14:textId="77777777" w:rsidR="00CD2195" w:rsidRPr="00CD2195" w:rsidRDefault="00CD2195" w:rsidP="001365A2">
      <w:pPr>
        <w:spacing w:after="120" w:line="240" w:lineRule="auto"/>
        <w:jc w:val="both"/>
        <w:rPr>
          <w:rFonts w:ascii="Times New Roman" w:eastAsia="Times New Roman" w:hAnsi="Times New Roman" w:cs="Times New Roman"/>
          <w:b/>
          <w:sz w:val="24"/>
          <w:szCs w:val="24"/>
          <w:lang w:eastAsia="bg-BG"/>
        </w:rPr>
      </w:pPr>
      <w:r w:rsidRPr="00CD2195">
        <w:rPr>
          <w:rFonts w:ascii="Times New Roman" w:eastAsia="Times New Roman" w:hAnsi="Times New Roman" w:cs="Times New Roman"/>
          <w:b/>
          <w:sz w:val="24"/>
          <w:szCs w:val="24"/>
          <w:lang w:eastAsia="bg-BG"/>
        </w:rPr>
        <w:t>1) Регулаторна база на активите</w:t>
      </w:r>
    </w:p>
    <w:p w14:paraId="0BE8D617" w14:textId="3A0216E2" w:rsidR="00CD2195" w:rsidRPr="00CD2195" w:rsidRDefault="00CD2195" w:rsidP="001365A2">
      <w:pPr>
        <w:spacing w:after="120" w:line="240" w:lineRule="auto"/>
        <w:jc w:val="both"/>
        <w:outlineLvl w:val="0"/>
        <w:rPr>
          <w:rFonts w:ascii="Times New Roman" w:eastAsia="Times New Roman" w:hAnsi="Times New Roman" w:cs="Times New Roman"/>
          <w:bCs/>
          <w:sz w:val="24"/>
          <w:szCs w:val="24"/>
        </w:rPr>
      </w:pPr>
      <w:r w:rsidRPr="00CD2195">
        <w:rPr>
          <w:rFonts w:ascii="Times New Roman" w:eastAsia="Times New Roman" w:hAnsi="Times New Roman" w:cs="Times New Roman"/>
          <w:bCs/>
          <w:sz w:val="24"/>
          <w:szCs w:val="24"/>
        </w:rPr>
        <w:t xml:space="preserve">Изчислената регулаторна база на активите възлиза на </w:t>
      </w:r>
      <w:r w:rsidR="00EC6894">
        <w:rPr>
          <w:rFonts w:ascii="Times New Roman" w:eastAsia="Times New Roman" w:hAnsi="Times New Roman" w:cs="Times New Roman"/>
          <w:b/>
          <w:bCs/>
          <w:sz w:val="24"/>
          <w:szCs w:val="24"/>
        </w:rPr>
        <w:t>……………</w:t>
      </w:r>
      <w:r w:rsidRPr="00CD2195">
        <w:rPr>
          <w:rFonts w:ascii="Times New Roman" w:eastAsia="Times New Roman" w:hAnsi="Times New Roman" w:cs="Times New Roman"/>
          <w:b/>
          <w:bCs/>
          <w:sz w:val="24"/>
          <w:szCs w:val="24"/>
        </w:rPr>
        <w:t xml:space="preserve"> хил.</w:t>
      </w:r>
      <w:r w:rsidR="00257C90">
        <w:rPr>
          <w:rFonts w:ascii="Times New Roman" w:eastAsia="Times New Roman" w:hAnsi="Times New Roman" w:cs="Times New Roman"/>
          <w:b/>
          <w:bCs/>
          <w:sz w:val="24"/>
          <w:szCs w:val="24"/>
        </w:rPr>
        <w:t xml:space="preserve"> </w:t>
      </w:r>
      <w:r w:rsidRPr="00CD2195">
        <w:rPr>
          <w:rFonts w:ascii="Times New Roman" w:eastAsia="Times New Roman" w:hAnsi="Times New Roman" w:cs="Times New Roman"/>
          <w:b/>
          <w:bCs/>
          <w:sz w:val="24"/>
          <w:szCs w:val="24"/>
        </w:rPr>
        <w:t>лв</w:t>
      </w:r>
      <w:r w:rsidRPr="00CD2195">
        <w:rPr>
          <w:rFonts w:ascii="Times New Roman" w:eastAsia="Times New Roman" w:hAnsi="Times New Roman" w:cs="Times New Roman"/>
          <w:bCs/>
          <w:sz w:val="24"/>
          <w:szCs w:val="24"/>
        </w:rPr>
        <w:t>. Представена е и информация за разпределение на активите по блокове с № 1- 8.</w:t>
      </w:r>
    </w:p>
    <w:p w14:paraId="3F227661" w14:textId="7D34ABAC" w:rsidR="00CD2195" w:rsidRPr="00CD2195" w:rsidRDefault="00CD2195" w:rsidP="001365A2">
      <w:pPr>
        <w:spacing w:after="120" w:line="240" w:lineRule="auto"/>
        <w:jc w:val="both"/>
        <w:outlineLvl w:val="0"/>
        <w:rPr>
          <w:rFonts w:ascii="Times New Roman" w:eastAsia="Times New Roman" w:hAnsi="Times New Roman" w:cs="Times New Roman"/>
          <w:b/>
          <w:bCs/>
          <w:sz w:val="24"/>
          <w:szCs w:val="24"/>
        </w:rPr>
      </w:pPr>
      <w:r w:rsidRPr="00CD2195">
        <w:rPr>
          <w:rFonts w:ascii="Times New Roman" w:eastAsia="Times New Roman" w:hAnsi="Times New Roman" w:cs="Times New Roman"/>
          <w:bCs/>
          <w:sz w:val="24"/>
          <w:szCs w:val="24"/>
        </w:rPr>
        <w:t>Включеният Необходим оборотен капитал /НОК/ е изчислен в съответствие с т.</w:t>
      </w:r>
      <w:r w:rsidR="00257C90">
        <w:rPr>
          <w:rFonts w:ascii="Times New Roman" w:eastAsia="Times New Roman" w:hAnsi="Times New Roman" w:cs="Times New Roman"/>
          <w:bCs/>
          <w:sz w:val="24"/>
          <w:szCs w:val="24"/>
        </w:rPr>
        <w:t xml:space="preserve"> </w:t>
      </w:r>
      <w:r w:rsidRPr="00CD2195">
        <w:rPr>
          <w:rFonts w:ascii="Times New Roman" w:eastAsia="Times New Roman" w:hAnsi="Times New Roman" w:cs="Times New Roman"/>
          <w:bCs/>
          <w:sz w:val="24"/>
          <w:szCs w:val="24"/>
        </w:rPr>
        <w:t>24.2 от Указанията е приета минималната стойност, която може да се признае, а именно не по-висока стойност от 1/8 от утвърдените годишни оперативни парични разходи за дейността/</w:t>
      </w:r>
      <w:proofErr w:type="spellStart"/>
      <w:r w:rsidRPr="00CD2195">
        <w:rPr>
          <w:rFonts w:ascii="Times New Roman" w:eastAsia="Times New Roman" w:hAnsi="Times New Roman" w:cs="Times New Roman"/>
          <w:bCs/>
          <w:sz w:val="24"/>
          <w:szCs w:val="24"/>
        </w:rPr>
        <w:t>ите</w:t>
      </w:r>
      <w:proofErr w:type="spellEnd"/>
      <w:r w:rsidRPr="00CD2195">
        <w:rPr>
          <w:rFonts w:ascii="Times New Roman" w:eastAsia="Times New Roman" w:hAnsi="Times New Roman" w:cs="Times New Roman"/>
          <w:bCs/>
          <w:sz w:val="24"/>
          <w:szCs w:val="24"/>
        </w:rPr>
        <w:t xml:space="preserve">, като не се включват разходи за амортизации  и </w:t>
      </w:r>
      <w:r w:rsidR="005623EA">
        <w:rPr>
          <w:rFonts w:ascii="Times New Roman" w:eastAsia="Times New Roman" w:hAnsi="Times New Roman" w:cs="Times New Roman"/>
          <w:bCs/>
          <w:sz w:val="24"/>
          <w:szCs w:val="24"/>
        </w:rPr>
        <w:t>е</w:t>
      </w:r>
      <w:r w:rsidR="005623EA" w:rsidRPr="00CD2195">
        <w:rPr>
          <w:rFonts w:ascii="Times New Roman" w:eastAsia="Times New Roman" w:hAnsi="Times New Roman" w:cs="Times New Roman"/>
          <w:bCs/>
          <w:sz w:val="24"/>
          <w:szCs w:val="24"/>
        </w:rPr>
        <w:t xml:space="preserve"> </w:t>
      </w:r>
      <w:r w:rsidRPr="00CD2195">
        <w:rPr>
          <w:rFonts w:ascii="Times New Roman" w:eastAsia="Times New Roman" w:hAnsi="Times New Roman" w:cs="Times New Roman"/>
          <w:bCs/>
          <w:sz w:val="24"/>
          <w:szCs w:val="24"/>
        </w:rPr>
        <w:t xml:space="preserve">в размер на </w:t>
      </w:r>
      <w:r w:rsidR="00EC6894">
        <w:rPr>
          <w:rFonts w:ascii="Times New Roman" w:eastAsia="Times New Roman" w:hAnsi="Times New Roman" w:cs="Times New Roman"/>
          <w:b/>
          <w:bCs/>
          <w:sz w:val="24"/>
          <w:szCs w:val="24"/>
        </w:rPr>
        <w:t>……….</w:t>
      </w:r>
      <w:r w:rsidRPr="00CD2195">
        <w:rPr>
          <w:rFonts w:ascii="Times New Roman" w:eastAsia="Times New Roman" w:hAnsi="Times New Roman" w:cs="Times New Roman"/>
          <w:b/>
          <w:bCs/>
          <w:sz w:val="24"/>
          <w:szCs w:val="24"/>
        </w:rPr>
        <w:t xml:space="preserve"> хил.</w:t>
      </w:r>
      <w:r w:rsidR="00257C90">
        <w:rPr>
          <w:rFonts w:ascii="Times New Roman" w:eastAsia="Times New Roman" w:hAnsi="Times New Roman" w:cs="Times New Roman"/>
          <w:b/>
          <w:bCs/>
          <w:sz w:val="24"/>
          <w:szCs w:val="24"/>
        </w:rPr>
        <w:t xml:space="preserve"> </w:t>
      </w:r>
      <w:r w:rsidRPr="00CD2195">
        <w:rPr>
          <w:rFonts w:ascii="Times New Roman" w:eastAsia="Times New Roman" w:hAnsi="Times New Roman" w:cs="Times New Roman"/>
          <w:b/>
          <w:bCs/>
          <w:sz w:val="24"/>
          <w:szCs w:val="24"/>
        </w:rPr>
        <w:t>лв.</w:t>
      </w:r>
    </w:p>
    <w:p w14:paraId="116E731D" w14:textId="77777777" w:rsidR="00CD2195" w:rsidRPr="00CD2195" w:rsidRDefault="00CD2195" w:rsidP="001365A2">
      <w:pPr>
        <w:spacing w:after="120" w:line="240" w:lineRule="auto"/>
        <w:jc w:val="both"/>
        <w:outlineLvl w:val="0"/>
        <w:rPr>
          <w:rFonts w:ascii="Times New Roman" w:eastAsia="Times New Roman" w:hAnsi="Times New Roman" w:cs="Times New Roman"/>
          <w:bCs/>
          <w:sz w:val="24"/>
          <w:szCs w:val="24"/>
        </w:rPr>
      </w:pPr>
      <w:r w:rsidRPr="00CD2195">
        <w:rPr>
          <w:rFonts w:ascii="Times New Roman" w:eastAsia="Times New Roman" w:hAnsi="Times New Roman" w:cs="Times New Roman"/>
          <w:bCs/>
          <w:sz w:val="24"/>
          <w:szCs w:val="24"/>
        </w:rPr>
        <w:t xml:space="preserve">В стойността на регулаторната база на активите не е включен преоценъчен резерв, в съответствие с Указанията за образуване на цените при производство на електрическа енергия при  </w:t>
      </w:r>
      <w:r w:rsidRPr="00CD2195">
        <w:rPr>
          <w:rFonts w:ascii="Times New Roman" w:eastAsia="Times New Roman" w:hAnsi="Times New Roman" w:cs="Times New Roman"/>
          <w:sz w:val="24"/>
          <w:szCs w:val="24"/>
        </w:rPr>
        <w:t>прилагане на</w:t>
      </w:r>
      <w:r w:rsidRPr="00CD2195">
        <w:rPr>
          <w:rFonts w:ascii="Times New Roman" w:eastAsia="Times New Roman" w:hAnsi="Times New Roman" w:cs="Times New Roman"/>
          <w:sz w:val="24"/>
          <w:szCs w:val="24"/>
          <w:lang w:val="x-none"/>
        </w:rPr>
        <w:t xml:space="preserve"> метода </w:t>
      </w:r>
      <w:r w:rsidRPr="00CD2195">
        <w:rPr>
          <w:rFonts w:ascii="Times New Roman" w:eastAsia="Times New Roman" w:hAnsi="Times New Roman" w:cs="Times New Roman"/>
          <w:sz w:val="24"/>
          <w:szCs w:val="24"/>
        </w:rPr>
        <w:t xml:space="preserve">на регулиране </w:t>
      </w:r>
      <w:r w:rsidRPr="00CD2195">
        <w:rPr>
          <w:rFonts w:ascii="Times New Roman" w:eastAsia="Times New Roman" w:hAnsi="Times New Roman" w:cs="Times New Roman"/>
          <w:sz w:val="24"/>
          <w:szCs w:val="24"/>
          <w:lang w:val="x-none"/>
        </w:rPr>
        <w:t>„норма на възвръщаемост на капитала”</w:t>
      </w:r>
      <w:r w:rsidRPr="00CD2195">
        <w:rPr>
          <w:rFonts w:ascii="Times New Roman" w:eastAsia="Times New Roman" w:hAnsi="Times New Roman" w:cs="Times New Roman"/>
          <w:sz w:val="24"/>
          <w:szCs w:val="24"/>
        </w:rPr>
        <w:t>, приети от КЕВР.</w:t>
      </w:r>
    </w:p>
    <w:p w14:paraId="5542DDF3" w14:textId="77777777" w:rsidR="00CD2195" w:rsidRPr="00CD2195" w:rsidRDefault="00CD2195" w:rsidP="001365A2">
      <w:pPr>
        <w:spacing w:after="120" w:line="240" w:lineRule="auto"/>
        <w:ind w:left="708"/>
        <w:jc w:val="both"/>
        <w:rPr>
          <w:rFonts w:ascii="Times New Roman" w:eastAsia="Times New Roman" w:hAnsi="Times New Roman" w:cs="Times New Roman"/>
          <w:sz w:val="24"/>
          <w:szCs w:val="24"/>
          <w:lang w:eastAsia="bg-BG"/>
        </w:rPr>
      </w:pPr>
    </w:p>
    <w:p w14:paraId="014998E2" w14:textId="77777777" w:rsidR="00CD2195" w:rsidRPr="00CD2195" w:rsidRDefault="00CD2195" w:rsidP="001365A2">
      <w:pPr>
        <w:spacing w:after="120" w:line="240" w:lineRule="auto"/>
        <w:jc w:val="both"/>
        <w:rPr>
          <w:rFonts w:ascii="Times New Roman" w:eastAsia="Times New Roman" w:hAnsi="Times New Roman" w:cs="Times New Roman"/>
          <w:b/>
          <w:sz w:val="24"/>
          <w:szCs w:val="24"/>
          <w:lang w:eastAsia="bg-BG"/>
        </w:rPr>
      </w:pPr>
      <w:r w:rsidRPr="00CD2195">
        <w:rPr>
          <w:rFonts w:ascii="Times New Roman" w:eastAsia="Times New Roman" w:hAnsi="Times New Roman" w:cs="Times New Roman"/>
          <w:b/>
          <w:sz w:val="24"/>
          <w:szCs w:val="24"/>
          <w:lang w:eastAsia="bg-BG"/>
        </w:rPr>
        <w:t>2) Норма на възвръщаемост на капитала</w:t>
      </w:r>
    </w:p>
    <w:p w14:paraId="26547044" w14:textId="7EAAA926" w:rsidR="00257C90" w:rsidRDefault="00257C90" w:rsidP="001365A2">
      <w:pPr>
        <w:spacing w:after="120" w:line="240" w:lineRule="auto"/>
        <w:jc w:val="both"/>
        <w:rPr>
          <w:rFonts w:ascii="Times New Roman" w:eastAsia="Times New Roman" w:hAnsi="Times New Roman" w:cs="Times New Roman"/>
          <w:sz w:val="24"/>
          <w:szCs w:val="24"/>
          <w:lang w:eastAsia="bg-BG"/>
        </w:rPr>
      </w:pPr>
      <w:r w:rsidRPr="00257C90">
        <w:rPr>
          <w:rFonts w:ascii="Times New Roman" w:eastAsia="Times New Roman" w:hAnsi="Times New Roman" w:cs="Times New Roman"/>
          <w:sz w:val="24"/>
          <w:szCs w:val="24"/>
          <w:lang w:eastAsia="bg-BG"/>
        </w:rPr>
        <w:t xml:space="preserve">Използваната норма на възвръщаемост на собствения капитал </w:t>
      </w:r>
      <w:proofErr w:type="spellStart"/>
      <w:r w:rsidRPr="00257C90">
        <w:rPr>
          <w:rFonts w:ascii="Times New Roman" w:eastAsia="Times New Roman" w:hAnsi="Times New Roman" w:cs="Times New Roman"/>
          <w:sz w:val="24"/>
          <w:szCs w:val="24"/>
          <w:lang w:eastAsia="bg-BG"/>
        </w:rPr>
        <w:t>НВ</w:t>
      </w:r>
      <w:r w:rsidRPr="00257C90">
        <w:rPr>
          <w:rFonts w:ascii="Times New Roman" w:eastAsia="Times New Roman" w:hAnsi="Times New Roman" w:cs="Times New Roman"/>
          <w:sz w:val="24"/>
          <w:szCs w:val="24"/>
          <w:vertAlign w:val="subscript"/>
          <w:lang w:eastAsia="bg-BG"/>
        </w:rPr>
        <w:t>ск</w:t>
      </w:r>
      <w:proofErr w:type="spellEnd"/>
      <w:r w:rsidRPr="00257C90">
        <w:rPr>
          <w:rFonts w:ascii="Times New Roman" w:eastAsia="Times New Roman" w:hAnsi="Times New Roman" w:cs="Times New Roman"/>
          <w:sz w:val="24"/>
          <w:szCs w:val="24"/>
          <w:lang w:eastAsia="bg-BG"/>
        </w:rPr>
        <w:t xml:space="preserve"> за определяне на цената за </w:t>
      </w:r>
      <w:proofErr w:type="spellStart"/>
      <w:r w:rsidRPr="00257C90">
        <w:rPr>
          <w:rFonts w:ascii="Times New Roman" w:eastAsia="Times New Roman" w:hAnsi="Times New Roman" w:cs="Times New Roman"/>
          <w:sz w:val="24"/>
          <w:szCs w:val="24"/>
          <w:lang w:eastAsia="bg-BG"/>
        </w:rPr>
        <w:t>разполагаемост</w:t>
      </w:r>
      <w:proofErr w:type="spellEnd"/>
      <w:r w:rsidRPr="00257C90">
        <w:rPr>
          <w:rFonts w:ascii="Times New Roman" w:eastAsia="Times New Roman" w:hAnsi="Times New Roman" w:cs="Times New Roman"/>
          <w:sz w:val="24"/>
          <w:szCs w:val="24"/>
          <w:lang w:eastAsia="bg-BG"/>
        </w:rPr>
        <w:t xml:space="preserve"> е в размер на 5%. По отношение на привлечения ка</w:t>
      </w:r>
      <w:r w:rsidR="00641066">
        <w:rPr>
          <w:rFonts w:ascii="Times New Roman" w:eastAsia="Times New Roman" w:hAnsi="Times New Roman" w:cs="Times New Roman"/>
          <w:sz w:val="24"/>
          <w:szCs w:val="24"/>
          <w:lang w:eastAsia="bg-BG"/>
        </w:rPr>
        <w:t xml:space="preserve">питал, той </w:t>
      </w:r>
      <w:r w:rsidR="00641066">
        <w:rPr>
          <w:rFonts w:ascii="Times New Roman" w:eastAsia="Times New Roman" w:hAnsi="Times New Roman" w:cs="Times New Roman"/>
          <w:sz w:val="24"/>
          <w:szCs w:val="24"/>
          <w:lang w:eastAsia="bg-BG"/>
        </w:rPr>
        <w:lastRenderedPageBreak/>
        <w:t xml:space="preserve">участва с </w:t>
      </w:r>
      <w:proofErr w:type="spellStart"/>
      <w:r w:rsidR="00641066">
        <w:rPr>
          <w:rFonts w:ascii="Times New Roman" w:eastAsia="Times New Roman" w:hAnsi="Times New Roman" w:cs="Times New Roman"/>
          <w:sz w:val="24"/>
          <w:szCs w:val="24"/>
          <w:lang w:eastAsia="bg-BG"/>
        </w:rPr>
        <w:t>НВ</w:t>
      </w:r>
      <w:r w:rsidR="00641066" w:rsidRPr="00641066">
        <w:rPr>
          <w:rFonts w:ascii="Times New Roman" w:eastAsia="Times New Roman" w:hAnsi="Times New Roman" w:cs="Times New Roman"/>
          <w:sz w:val="24"/>
          <w:szCs w:val="24"/>
          <w:vertAlign w:val="subscript"/>
          <w:lang w:eastAsia="bg-BG"/>
        </w:rPr>
        <w:t>пк</w:t>
      </w:r>
      <w:proofErr w:type="spellEnd"/>
      <w:r w:rsidR="00641066">
        <w:rPr>
          <w:rFonts w:ascii="Times New Roman" w:eastAsia="Times New Roman" w:hAnsi="Times New Roman" w:cs="Times New Roman"/>
          <w:sz w:val="24"/>
          <w:szCs w:val="24"/>
          <w:lang w:eastAsia="bg-BG"/>
        </w:rPr>
        <w:t xml:space="preserve"> – </w:t>
      </w:r>
      <w:r w:rsidR="00EC6894">
        <w:rPr>
          <w:rFonts w:ascii="Times New Roman" w:eastAsia="Times New Roman" w:hAnsi="Times New Roman" w:cs="Times New Roman"/>
          <w:sz w:val="24"/>
          <w:szCs w:val="24"/>
          <w:lang w:eastAsia="bg-BG"/>
        </w:rPr>
        <w:t>………….</w:t>
      </w:r>
      <w:r w:rsidRPr="00257C90">
        <w:rPr>
          <w:rFonts w:ascii="Times New Roman" w:eastAsia="Times New Roman" w:hAnsi="Times New Roman" w:cs="Times New Roman"/>
          <w:sz w:val="24"/>
          <w:szCs w:val="24"/>
          <w:lang w:eastAsia="bg-BG"/>
        </w:rPr>
        <w:t xml:space="preserve">%. </w:t>
      </w:r>
      <w:proofErr w:type="spellStart"/>
      <w:r w:rsidRPr="00257C90">
        <w:rPr>
          <w:rFonts w:ascii="Times New Roman" w:eastAsia="Times New Roman" w:hAnsi="Times New Roman" w:cs="Times New Roman"/>
          <w:sz w:val="24"/>
          <w:szCs w:val="24"/>
          <w:lang w:eastAsia="bg-BG"/>
        </w:rPr>
        <w:t>Среднопретеглената</w:t>
      </w:r>
      <w:proofErr w:type="spellEnd"/>
      <w:r w:rsidRPr="00257C90">
        <w:rPr>
          <w:rFonts w:ascii="Times New Roman" w:eastAsia="Times New Roman" w:hAnsi="Times New Roman" w:cs="Times New Roman"/>
          <w:sz w:val="24"/>
          <w:szCs w:val="24"/>
          <w:lang w:eastAsia="bg-BG"/>
        </w:rPr>
        <w:t xml:space="preserve"> цена на капитала е </w:t>
      </w:r>
      <w:r w:rsidR="00EC6894">
        <w:rPr>
          <w:rFonts w:ascii="Times New Roman" w:eastAsia="Times New Roman" w:hAnsi="Times New Roman" w:cs="Times New Roman"/>
          <w:sz w:val="24"/>
          <w:szCs w:val="24"/>
          <w:lang w:eastAsia="bg-BG"/>
        </w:rPr>
        <w:t>………..</w:t>
      </w:r>
      <w:r w:rsidR="00641066">
        <w:rPr>
          <w:rFonts w:ascii="Times New Roman" w:eastAsia="Times New Roman" w:hAnsi="Times New Roman" w:cs="Times New Roman"/>
          <w:sz w:val="24"/>
          <w:szCs w:val="24"/>
          <w:lang w:eastAsia="bg-BG"/>
        </w:rPr>
        <w:t xml:space="preserve"> </w:t>
      </w:r>
      <w:r w:rsidRPr="00257C90">
        <w:rPr>
          <w:rFonts w:ascii="Times New Roman" w:eastAsia="Times New Roman" w:hAnsi="Times New Roman" w:cs="Times New Roman"/>
          <w:sz w:val="24"/>
          <w:szCs w:val="24"/>
          <w:lang w:eastAsia="bg-BG"/>
        </w:rPr>
        <w:t>% и се формира по утвърдената методика с Наредба № 1.</w:t>
      </w:r>
    </w:p>
    <w:p w14:paraId="5A465734" w14:textId="77777777" w:rsidR="00257C90" w:rsidRPr="00257C90" w:rsidRDefault="00257C90" w:rsidP="001365A2">
      <w:pPr>
        <w:spacing w:after="120" w:line="240" w:lineRule="auto"/>
        <w:jc w:val="both"/>
        <w:rPr>
          <w:rFonts w:ascii="Times New Roman" w:eastAsia="Times New Roman" w:hAnsi="Times New Roman" w:cs="Times New Roman"/>
          <w:b/>
          <w:i/>
          <w:sz w:val="24"/>
          <w:szCs w:val="24"/>
          <w:lang w:eastAsia="bg-BG"/>
        </w:rPr>
      </w:pPr>
      <w:r w:rsidRPr="00257C90">
        <w:rPr>
          <w:rFonts w:ascii="Times New Roman" w:eastAsia="Times New Roman" w:hAnsi="Times New Roman" w:cs="Times New Roman"/>
          <w:b/>
          <w:i/>
          <w:sz w:val="24"/>
          <w:szCs w:val="24"/>
          <w:lang w:eastAsia="bg-BG"/>
        </w:rPr>
        <w:t>Въз основа на гореизложеното и на основание чл. 4 ал. 1 т. 1 от Наредбата за регулиране на цените на електрическата енергия, предлагаме КЕВР да утвърди за периода от 01.07.20</w:t>
      </w:r>
      <w:r w:rsidR="00044807">
        <w:rPr>
          <w:rFonts w:ascii="Times New Roman" w:eastAsia="Times New Roman" w:hAnsi="Times New Roman" w:cs="Times New Roman"/>
          <w:b/>
          <w:i/>
          <w:sz w:val="24"/>
          <w:szCs w:val="24"/>
          <w:lang w:eastAsia="bg-BG"/>
        </w:rPr>
        <w:t>21</w:t>
      </w:r>
      <w:r w:rsidRPr="00257C90">
        <w:rPr>
          <w:rFonts w:ascii="Times New Roman" w:eastAsia="Times New Roman" w:hAnsi="Times New Roman" w:cs="Times New Roman"/>
          <w:b/>
          <w:i/>
          <w:sz w:val="24"/>
          <w:szCs w:val="24"/>
          <w:lang w:eastAsia="bg-BG"/>
        </w:rPr>
        <w:t xml:space="preserve"> до 30.06.202</w:t>
      </w:r>
      <w:r w:rsidR="00044807">
        <w:rPr>
          <w:rFonts w:ascii="Times New Roman" w:eastAsia="Times New Roman" w:hAnsi="Times New Roman" w:cs="Times New Roman"/>
          <w:b/>
          <w:i/>
          <w:sz w:val="24"/>
          <w:szCs w:val="24"/>
          <w:lang w:eastAsia="bg-BG"/>
        </w:rPr>
        <w:t>2</w:t>
      </w:r>
      <w:r w:rsidRPr="00257C90">
        <w:rPr>
          <w:rFonts w:ascii="Times New Roman" w:eastAsia="Times New Roman" w:hAnsi="Times New Roman" w:cs="Times New Roman"/>
          <w:b/>
          <w:i/>
          <w:sz w:val="24"/>
          <w:szCs w:val="24"/>
          <w:lang w:eastAsia="bg-BG"/>
        </w:rPr>
        <w:t xml:space="preserve"> година: </w:t>
      </w:r>
    </w:p>
    <w:p w14:paraId="578C5D40" w14:textId="77777777" w:rsidR="00257C90" w:rsidRPr="00257C90" w:rsidRDefault="00257C90" w:rsidP="001365A2">
      <w:pPr>
        <w:spacing w:after="120" w:line="240" w:lineRule="auto"/>
        <w:ind w:firstLine="709"/>
        <w:jc w:val="both"/>
        <w:rPr>
          <w:rFonts w:ascii="Times New Roman" w:eastAsia="Times New Roman" w:hAnsi="Times New Roman" w:cs="Times New Roman"/>
          <w:b/>
          <w:i/>
          <w:sz w:val="24"/>
          <w:szCs w:val="24"/>
          <w:lang w:eastAsia="bg-BG"/>
        </w:rPr>
      </w:pPr>
    </w:p>
    <w:p w14:paraId="3EE247A7" w14:textId="00319B83" w:rsidR="00257C90" w:rsidRDefault="00257C90" w:rsidP="001365A2">
      <w:pPr>
        <w:numPr>
          <w:ilvl w:val="0"/>
          <w:numId w:val="6"/>
        </w:numPr>
        <w:tabs>
          <w:tab w:val="num" w:pos="600"/>
        </w:tabs>
        <w:spacing w:after="120" w:line="240" w:lineRule="auto"/>
        <w:rPr>
          <w:rFonts w:ascii="Times New Roman" w:eastAsia="Times New Roman" w:hAnsi="Times New Roman" w:cs="Times New Roman"/>
          <w:b/>
          <w:i/>
          <w:sz w:val="24"/>
          <w:szCs w:val="24"/>
          <w:lang w:eastAsia="bg-BG"/>
        </w:rPr>
      </w:pPr>
      <w:proofErr w:type="spellStart"/>
      <w:r w:rsidRPr="00257C90">
        <w:rPr>
          <w:rFonts w:ascii="Times New Roman" w:eastAsia="Times New Roman" w:hAnsi="Times New Roman" w:cs="Times New Roman"/>
          <w:b/>
          <w:i/>
          <w:sz w:val="24"/>
          <w:szCs w:val="24"/>
          <w:lang w:eastAsia="bg-BG"/>
        </w:rPr>
        <w:t>Еднокомпонентна</w:t>
      </w:r>
      <w:proofErr w:type="spellEnd"/>
      <w:r w:rsidRPr="00257C90">
        <w:rPr>
          <w:rFonts w:ascii="Times New Roman" w:eastAsia="Times New Roman" w:hAnsi="Times New Roman" w:cs="Times New Roman"/>
          <w:b/>
          <w:i/>
          <w:sz w:val="24"/>
          <w:szCs w:val="24"/>
          <w:lang w:eastAsia="bg-BG"/>
        </w:rPr>
        <w:t xml:space="preserve"> (пълна) цена на електрическа енергия – </w:t>
      </w:r>
      <w:r w:rsidR="00EC6894">
        <w:rPr>
          <w:rFonts w:ascii="Times New Roman" w:eastAsia="Times New Roman" w:hAnsi="Times New Roman" w:cs="Times New Roman"/>
          <w:b/>
          <w:i/>
          <w:sz w:val="24"/>
          <w:szCs w:val="24"/>
          <w:lang w:eastAsia="bg-BG"/>
        </w:rPr>
        <w:t>…………..</w:t>
      </w:r>
      <w:r w:rsidRPr="00257C90">
        <w:rPr>
          <w:rFonts w:ascii="Times New Roman" w:eastAsia="Times New Roman" w:hAnsi="Times New Roman" w:cs="Times New Roman"/>
          <w:b/>
          <w:i/>
          <w:sz w:val="24"/>
          <w:szCs w:val="24"/>
          <w:lang w:eastAsia="bg-BG"/>
        </w:rPr>
        <w:t xml:space="preserve"> лв./</w:t>
      </w:r>
      <w:proofErr w:type="spellStart"/>
      <w:r w:rsidRPr="00257C90">
        <w:rPr>
          <w:rFonts w:ascii="Times New Roman" w:eastAsia="Times New Roman" w:hAnsi="Times New Roman" w:cs="Times New Roman"/>
          <w:b/>
          <w:i/>
          <w:sz w:val="24"/>
          <w:szCs w:val="24"/>
          <w:lang w:eastAsia="bg-BG"/>
        </w:rPr>
        <w:t>МВтч</w:t>
      </w:r>
      <w:proofErr w:type="spellEnd"/>
    </w:p>
    <w:p w14:paraId="09E39E9F" w14:textId="77777777" w:rsidR="00044807" w:rsidRDefault="00044807" w:rsidP="001365A2">
      <w:pPr>
        <w:tabs>
          <w:tab w:val="num" w:pos="600"/>
        </w:tabs>
        <w:spacing w:after="120" w:line="240" w:lineRule="auto"/>
        <w:ind w:left="420"/>
        <w:rPr>
          <w:rFonts w:ascii="Times New Roman" w:eastAsia="Times New Roman" w:hAnsi="Times New Roman" w:cs="Times New Roman"/>
          <w:b/>
          <w:i/>
          <w:sz w:val="24"/>
          <w:szCs w:val="24"/>
          <w:lang w:eastAsia="bg-BG"/>
        </w:rPr>
      </w:pPr>
    </w:p>
    <w:p w14:paraId="7BB50848" w14:textId="77777777" w:rsidR="00E41EF9" w:rsidRDefault="00E41EF9" w:rsidP="001365A2">
      <w:pPr>
        <w:tabs>
          <w:tab w:val="num" w:pos="600"/>
        </w:tabs>
        <w:spacing w:after="120" w:line="240" w:lineRule="auto"/>
        <w:ind w:left="420"/>
        <w:rPr>
          <w:rFonts w:ascii="Times New Roman" w:eastAsia="Times New Roman" w:hAnsi="Times New Roman" w:cs="Times New Roman"/>
          <w:b/>
          <w:i/>
          <w:sz w:val="24"/>
          <w:szCs w:val="24"/>
          <w:lang w:eastAsia="bg-BG"/>
        </w:rPr>
      </w:pPr>
    </w:p>
    <w:p w14:paraId="6B0BAF22" w14:textId="77777777" w:rsidR="00E41EF9" w:rsidRPr="00257C90" w:rsidRDefault="00E41EF9" w:rsidP="001365A2">
      <w:pPr>
        <w:tabs>
          <w:tab w:val="num" w:pos="600"/>
        </w:tabs>
        <w:spacing w:after="120" w:line="240" w:lineRule="auto"/>
        <w:ind w:left="420"/>
        <w:rPr>
          <w:rFonts w:ascii="Times New Roman" w:eastAsia="Times New Roman" w:hAnsi="Times New Roman" w:cs="Times New Roman"/>
          <w:b/>
          <w:i/>
          <w:sz w:val="24"/>
          <w:szCs w:val="24"/>
          <w:lang w:eastAsia="bg-BG"/>
        </w:rPr>
      </w:pPr>
    </w:p>
    <w:p w14:paraId="7C490224" w14:textId="575E7CB5" w:rsidR="00257C90" w:rsidRPr="00257C90" w:rsidRDefault="00257C90" w:rsidP="001365A2">
      <w:pPr>
        <w:pStyle w:val="ListParagraph"/>
        <w:numPr>
          <w:ilvl w:val="0"/>
          <w:numId w:val="1"/>
        </w:numPr>
        <w:spacing w:after="120" w:line="240" w:lineRule="auto"/>
        <w:jc w:val="both"/>
        <w:rPr>
          <w:rFonts w:ascii="Times New Roman" w:hAnsi="Times New Roman" w:cs="Times New Roman"/>
          <w:b/>
          <w:sz w:val="24"/>
          <w:szCs w:val="24"/>
        </w:rPr>
      </w:pPr>
      <w:r w:rsidRPr="00257C90">
        <w:rPr>
          <w:rFonts w:ascii="Times New Roman" w:hAnsi="Times New Roman" w:cs="Times New Roman"/>
          <w:b/>
          <w:sz w:val="24"/>
          <w:szCs w:val="24"/>
        </w:rPr>
        <w:t>Искане за компенсиране на разходи по чл. 35 от Закона за енергетиката за но</w:t>
      </w:r>
      <w:r>
        <w:rPr>
          <w:rFonts w:ascii="Times New Roman" w:hAnsi="Times New Roman" w:cs="Times New Roman"/>
          <w:b/>
          <w:sz w:val="24"/>
          <w:szCs w:val="24"/>
        </w:rPr>
        <w:t>в</w:t>
      </w:r>
      <w:r w:rsidR="00DB7E5B">
        <w:rPr>
          <w:rFonts w:ascii="Times New Roman" w:hAnsi="Times New Roman" w:cs="Times New Roman"/>
          <w:b/>
          <w:sz w:val="24"/>
          <w:szCs w:val="24"/>
        </w:rPr>
        <w:t>ия регулаторен период 01.07.2021</w:t>
      </w:r>
      <w:r w:rsidRPr="00257C90">
        <w:rPr>
          <w:rFonts w:ascii="Times New Roman" w:hAnsi="Times New Roman" w:cs="Times New Roman"/>
          <w:b/>
          <w:sz w:val="24"/>
          <w:szCs w:val="24"/>
        </w:rPr>
        <w:t xml:space="preserve"> – 30.06.202</w:t>
      </w:r>
      <w:r w:rsidR="00DB7E5B">
        <w:rPr>
          <w:rFonts w:ascii="Times New Roman" w:hAnsi="Times New Roman" w:cs="Times New Roman"/>
          <w:b/>
          <w:sz w:val="24"/>
          <w:szCs w:val="24"/>
        </w:rPr>
        <w:t>2</w:t>
      </w:r>
      <w:r w:rsidRPr="00257C90">
        <w:rPr>
          <w:rFonts w:ascii="Times New Roman" w:hAnsi="Times New Roman" w:cs="Times New Roman"/>
          <w:b/>
          <w:sz w:val="24"/>
          <w:szCs w:val="24"/>
        </w:rPr>
        <w:t xml:space="preserve"> г.</w:t>
      </w:r>
      <w:r w:rsidR="004E57FD">
        <w:rPr>
          <w:rFonts w:ascii="Times New Roman" w:hAnsi="Times New Roman" w:cs="Times New Roman"/>
          <w:b/>
          <w:sz w:val="24"/>
          <w:szCs w:val="24"/>
        </w:rPr>
        <w:t xml:space="preserve"> </w:t>
      </w:r>
    </w:p>
    <w:p w14:paraId="227D4257" w14:textId="3DBA0F3B" w:rsidR="00257C90" w:rsidRDefault="00257C90" w:rsidP="001365A2">
      <w:pPr>
        <w:spacing w:after="120" w:line="240" w:lineRule="auto"/>
        <w:jc w:val="both"/>
        <w:rPr>
          <w:rFonts w:ascii="Times New Roman" w:eastAsia="Calibri" w:hAnsi="Times New Roman" w:cs="Times New Roman"/>
          <w:sz w:val="24"/>
          <w:szCs w:val="24"/>
        </w:rPr>
      </w:pPr>
      <w:r w:rsidRPr="00257C90">
        <w:rPr>
          <w:rFonts w:ascii="Times New Roman" w:eastAsia="Calibri" w:hAnsi="Times New Roman" w:cs="Times New Roman"/>
          <w:sz w:val="24"/>
          <w:szCs w:val="24"/>
        </w:rPr>
        <w:t xml:space="preserve">Искането за признаване и компенсиране на разходи, необходими за поддържане и експлоатация на съоръжения, представляващи критична инфраструктура в енергетиката е изготвено като допълващ елемент към заявлението за цени. То </w:t>
      </w:r>
      <w:r w:rsidR="00B20DD9">
        <w:rPr>
          <w:rFonts w:ascii="Times New Roman" w:eastAsia="Calibri" w:hAnsi="Times New Roman" w:cs="Times New Roman"/>
          <w:sz w:val="24"/>
          <w:szCs w:val="24"/>
        </w:rPr>
        <w:t>с</w:t>
      </w:r>
      <w:r w:rsidRPr="00257C90">
        <w:rPr>
          <w:rFonts w:ascii="Times New Roman" w:eastAsia="Calibri" w:hAnsi="Times New Roman" w:cs="Times New Roman"/>
          <w:sz w:val="24"/>
          <w:szCs w:val="24"/>
        </w:rPr>
        <w:t xml:space="preserve">е </w:t>
      </w:r>
      <w:r w:rsidR="00B20DD9">
        <w:rPr>
          <w:rFonts w:ascii="Times New Roman" w:eastAsia="Calibri" w:hAnsi="Times New Roman" w:cs="Times New Roman"/>
          <w:sz w:val="24"/>
          <w:szCs w:val="24"/>
        </w:rPr>
        <w:t>осн</w:t>
      </w:r>
      <w:r w:rsidR="00E170FD">
        <w:rPr>
          <w:rFonts w:ascii="Times New Roman" w:eastAsia="Calibri" w:hAnsi="Times New Roman" w:cs="Times New Roman"/>
          <w:sz w:val="24"/>
          <w:szCs w:val="24"/>
        </w:rPr>
        <w:t xml:space="preserve">овава на издадените заповеди с </w:t>
      </w:r>
      <w:r w:rsidR="00E170FD" w:rsidRPr="006249F3">
        <w:rPr>
          <w:rFonts w:ascii="Times New Roman" w:eastAsia="Times New Roman" w:hAnsi="Times New Roman" w:cs="Times New Roman"/>
          <w:sz w:val="24"/>
          <w:szCs w:val="24"/>
          <w:lang w:eastAsia="bg-BG"/>
        </w:rPr>
        <w:t>№ Е-РД-16-417/18.06.2019  г.</w:t>
      </w:r>
      <w:r w:rsidR="00E170FD">
        <w:rPr>
          <w:rFonts w:ascii="Times New Roman" w:eastAsia="Calibri" w:hAnsi="Times New Roman" w:cs="Times New Roman"/>
          <w:sz w:val="24"/>
          <w:szCs w:val="24"/>
        </w:rPr>
        <w:t xml:space="preserve">, </w:t>
      </w:r>
      <w:r w:rsidR="00E170FD" w:rsidRPr="006249F3">
        <w:rPr>
          <w:rFonts w:ascii="Times New Roman" w:eastAsia="Times New Roman" w:hAnsi="Times New Roman" w:cs="Times New Roman"/>
          <w:sz w:val="24"/>
          <w:szCs w:val="24"/>
          <w:lang w:eastAsia="bg-BG"/>
        </w:rPr>
        <w:t xml:space="preserve">№ Е-РД-16-39/29.01.2020 г. </w:t>
      </w:r>
      <w:r w:rsidR="00B20DD9">
        <w:rPr>
          <w:rFonts w:ascii="Times New Roman" w:eastAsia="Calibri" w:hAnsi="Times New Roman" w:cs="Times New Roman"/>
          <w:sz w:val="24"/>
          <w:szCs w:val="24"/>
        </w:rPr>
        <w:t>и №</w:t>
      </w:r>
      <w:r w:rsidR="00B20DD9" w:rsidRPr="00B20DD9">
        <w:rPr>
          <w:rFonts w:ascii="Times New Roman" w:eastAsia="Calibri" w:hAnsi="Times New Roman" w:cs="Times New Roman"/>
          <w:sz w:val="24"/>
          <w:szCs w:val="24"/>
        </w:rPr>
        <w:t xml:space="preserve"> Е-РД-16-295/25.06.2020</w:t>
      </w:r>
      <w:r w:rsidR="00B20DD9">
        <w:rPr>
          <w:rFonts w:ascii="Times New Roman" w:eastAsia="Calibri" w:hAnsi="Times New Roman" w:cs="Times New Roman"/>
          <w:sz w:val="24"/>
          <w:szCs w:val="24"/>
        </w:rPr>
        <w:t xml:space="preserve"> </w:t>
      </w:r>
      <w:r w:rsidR="00B20DD9" w:rsidRPr="00B20DD9">
        <w:rPr>
          <w:rFonts w:ascii="Times New Roman" w:eastAsia="Calibri" w:hAnsi="Times New Roman" w:cs="Times New Roman"/>
          <w:sz w:val="24"/>
          <w:szCs w:val="24"/>
        </w:rPr>
        <w:t>г.</w:t>
      </w:r>
      <w:r w:rsidR="00B20DD9">
        <w:rPr>
          <w:rFonts w:ascii="Times New Roman" w:eastAsia="Calibri" w:hAnsi="Times New Roman" w:cs="Times New Roman"/>
          <w:sz w:val="24"/>
          <w:szCs w:val="24"/>
        </w:rPr>
        <w:t xml:space="preserve"> от </w:t>
      </w:r>
      <w:r w:rsidR="00557112">
        <w:rPr>
          <w:rFonts w:ascii="Times New Roman" w:eastAsia="Calibri" w:hAnsi="Times New Roman" w:cs="Times New Roman"/>
          <w:sz w:val="24"/>
          <w:szCs w:val="24"/>
        </w:rPr>
        <w:t xml:space="preserve">Министъра </w:t>
      </w:r>
      <w:r w:rsidR="00B20DD9">
        <w:rPr>
          <w:rFonts w:ascii="Times New Roman" w:eastAsia="Calibri" w:hAnsi="Times New Roman" w:cs="Times New Roman"/>
          <w:sz w:val="24"/>
          <w:szCs w:val="24"/>
        </w:rPr>
        <w:t>на енергетиката, във връзка с наложени задължения към обществото за „ТЕЦ Марица изток 2“ЕАД, на основание чл. 4, ал. 2, т. 8 от Закона за енергетиката, с оглед осигуряване сигурността на снабдяване с електрическа енергия на територията на страната. В тази връзка</w:t>
      </w:r>
      <w:r w:rsidR="000220ED">
        <w:rPr>
          <w:rFonts w:ascii="Times New Roman" w:eastAsia="Calibri" w:hAnsi="Times New Roman" w:cs="Times New Roman"/>
          <w:sz w:val="24"/>
          <w:szCs w:val="24"/>
        </w:rPr>
        <w:t>, и</w:t>
      </w:r>
      <w:r w:rsidR="00B20DD9" w:rsidRPr="00B20DD9">
        <w:rPr>
          <w:rFonts w:ascii="Times New Roman" w:eastAsia="Calibri" w:hAnsi="Times New Roman" w:cs="Times New Roman"/>
          <w:sz w:val="24"/>
          <w:szCs w:val="24"/>
        </w:rPr>
        <w:t xml:space="preserve">зпълнителният директор на „ТЕЦ Марица изток 2" ЕАД </w:t>
      </w:r>
      <w:r w:rsidR="00E170FD">
        <w:rPr>
          <w:rFonts w:ascii="Times New Roman" w:eastAsia="Calibri" w:hAnsi="Times New Roman" w:cs="Times New Roman"/>
          <w:sz w:val="24"/>
          <w:szCs w:val="24"/>
        </w:rPr>
        <w:t>е задължен</w:t>
      </w:r>
      <w:r w:rsidR="000220ED">
        <w:rPr>
          <w:rFonts w:ascii="Times New Roman" w:eastAsia="Calibri" w:hAnsi="Times New Roman" w:cs="Times New Roman"/>
          <w:sz w:val="24"/>
          <w:szCs w:val="24"/>
        </w:rPr>
        <w:t xml:space="preserve"> </w:t>
      </w:r>
      <w:r w:rsidR="00B20DD9" w:rsidRPr="00B20DD9">
        <w:rPr>
          <w:rFonts w:ascii="Times New Roman" w:eastAsia="Calibri" w:hAnsi="Times New Roman" w:cs="Times New Roman"/>
          <w:sz w:val="24"/>
          <w:szCs w:val="24"/>
        </w:rPr>
        <w:t>да предприеме необходимите действия</w:t>
      </w:r>
      <w:r w:rsidR="00E170FD">
        <w:rPr>
          <w:rFonts w:ascii="Times New Roman" w:eastAsia="Calibri" w:hAnsi="Times New Roman" w:cs="Times New Roman"/>
          <w:sz w:val="24"/>
          <w:szCs w:val="24"/>
        </w:rPr>
        <w:t xml:space="preserve"> за предявяване и компенсиране на </w:t>
      </w:r>
      <w:r w:rsidR="00B20DD9" w:rsidRPr="00B20DD9">
        <w:rPr>
          <w:rFonts w:ascii="Times New Roman" w:eastAsia="Calibri" w:hAnsi="Times New Roman" w:cs="Times New Roman"/>
          <w:sz w:val="24"/>
          <w:szCs w:val="24"/>
        </w:rPr>
        <w:t>извършените от енергийното предприятие разходи, произтичащи от задължението за производство на електрическа енергия при използване на местни първични енергийни източници</w:t>
      </w:r>
      <w:r w:rsidR="00E170FD">
        <w:rPr>
          <w:rFonts w:ascii="Times New Roman" w:eastAsia="Calibri" w:hAnsi="Times New Roman" w:cs="Times New Roman"/>
          <w:sz w:val="24"/>
          <w:szCs w:val="24"/>
        </w:rPr>
        <w:t>,</w:t>
      </w:r>
      <w:r w:rsidR="00B20DD9" w:rsidRPr="00B20DD9">
        <w:rPr>
          <w:rFonts w:ascii="Times New Roman" w:eastAsia="Calibri" w:hAnsi="Times New Roman" w:cs="Times New Roman"/>
          <w:sz w:val="24"/>
          <w:szCs w:val="24"/>
        </w:rPr>
        <w:t xml:space="preserve"> по реда на чл.</w:t>
      </w:r>
      <w:r w:rsidR="000220ED">
        <w:rPr>
          <w:rFonts w:ascii="Times New Roman" w:eastAsia="Calibri" w:hAnsi="Times New Roman" w:cs="Times New Roman"/>
          <w:sz w:val="24"/>
          <w:szCs w:val="24"/>
        </w:rPr>
        <w:t xml:space="preserve"> </w:t>
      </w:r>
      <w:r w:rsidR="00B20DD9" w:rsidRPr="00B20DD9">
        <w:rPr>
          <w:rFonts w:ascii="Times New Roman" w:eastAsia="Calibri" w:hAnsi="Times New Roman" w:cs="Times New Roman"/>
          <w:sz w:val="24"/>
          <w:szCs w:val="24"/>
        </w:rPr>
        <w:t>35 от Закона за енергетиката.</w:t>
      </w:r>
    </w:p>
    <w:p w14:paraId="3A66CE3C" w14:textId="77777777" w:rsidR="0091284A" w:rsidRPr="00CD0646" w:rsidRDefault="000220ED" w:rsidP="001365A2">
      <w:pPr>
        <w:spacing w:after="12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Текущият регулаторен период обхваща второто полугодие на 2020 г. и първото полугодие на 2021 г., поради което първата половина от 2020 г. попада в обхвата на предходния регулаторен период, за който „ТЕЦ Марица изток 2“ ЕАД също изпълнява задължения, свързани с гарантиране сигурността на снабдяване с електрическа енергия на територията на страната и към настоящия момент не е получила пълна компенсация за допълнителните разходи, съпътстващи производството на електроенергия по определените квоти с Решение № Ц-19/01.07.2019 г. и Ц-29/01.07.2020 г. на КЕВР.</w:t>
      </w:r>
    </w:p>
    <w:p w14:paraId="1502AA58" w14:textId="77777777" w:rsidR="006D55D3" w:rsidRPr="00257C90" w:rsidRDefault="006D55D3" w:rsidP="001365A2">
      <w:pPr>
        <w:spacing w:after="120" w:line="240" w:lineRule="auto"/>
        <w:jc w:val="both"/>
        <w:rPr>
          <w:rFonts w:ascii="Times New Roman" w:eastAsia="Calibri" w:hAnsi="Times New Roman" w:cs="Times New Roman"/>
          <w:sz w:val="24"/>
          <w:szCs w:val="24"/>
        </w:rPr>
      </w:pPr>
      <w:r w:rsidRPr="00257C90">
        <w:rPr>
          <w:rFonts w:ascii="Times New Roman" w:eastAsia="Calibri" w:hAnsi="Times New Roman" w:cs="Times New Roman"/>
          <w:sz w:val="24"/>
          <w:szCs w:val="24"/>
        </w:rPr>
        <w:t>Като ключова енергийна мощност, „ТЕЦ „Марица изток 2“ ЕАД има принос за:</w:t>
      </w:r>
    </w:p>
    <w:p w14:paraId="224D9D94" w14:textId="77777777" w:rsidR="006D55D3" w:rsidRPr="00257C90" w:rsidRDefault="006D55D3" w:rsidP="001365A2">
      <w:pPr>
        <w:pStyle w:val="ListParagraph"/>
        <w:numPr>
          <w:ilvl w:val="0"/>
          <w:numId w:val="7"/>
        </w:numPr>
        <w:spacing w:after="120" w:line="240" w:lineRule="auto"/>
        <w:jc w:val="both"/>
        <w:rPr>
          <w:rFonts w:ascii="Times New Roman" w:eastAsia="Calibri" w:hAnsi="Times New Roman" w:cs="Times New Roman"/>
          <w:sz w:val="24"/>
          <w:szCs w:val="24"/>
        </w:rPr>
      </w:pPr>
      <w:r w:rsidRPr="00257C90">
        <w:rPr>
          <w:rFonts w:ascii="Times New Roman" w:eastAsia="Calibri" w:hAnsi="Times New Roman" w:cs="Times New Roman"/>
          <w:sz w:val="24"/>
          <w:szCs w:val="24"/>
        </w:rPr>
        <w:t>Осигуряване на сигурността при доставката на електрическа енергия за територията на Р България.</w:t>
      </w:r>
    </w:p>
    <w:p w14:paraId="16A305AB" w14:textId="77777777" w:rsidR="006D55D3" w:rsidRPr="00257C90" w:rsidRDefault="006D55D3" w:rsidP="001365A2">
      <w:pPr>
        <w:pStyle w:val="ListParagraph"/>
        <w:numPr>
          <w:ilvl w:val="0"/>
          <w:numId w:val="7"/>
        </w:numPr>
        <w:spacing w:after="120" w:line="240" w:lineRule="auto"/>
        <w:jc w:val="both"/>
        <w:rPr>
          <w:rFonts w:ascii="Times New Roman" w:eastAsia="Calibri" w:hAnsi="Times New Roman" w:cs="Times New Roman"/>
          <w:sz w:val="24"/>
          <w:szCs w:val="24"/>
        </w:rPr>
      </w:pPr>
      <w:r w:rsidRPr="00257C90">
        <w:rPr>
          <w:rFonts w:ascii="Times New Roman" w:eastAsia="Calibri" w:hAnsi="Times New Roman" w:cs="Times New Roman"/>
          <w:sz w:val="24"/>
          <w:szCs w:val="24"/>
        </w:rPr>
        <w:t>Осигуряване на производството на електрическа енергия от местни енергийни източници, съгласно Закона за енергетиката.</w:t>
      </w:r>
    </w:p>
    <w:p w14:paraId="059BA18A" w14:textId="77777777" w:rsidR="00DB7E5B" w:rsidRPr="00520AA2" w:rsidRDefault="00DB7E5B" w:rsidP="001365A2">
      <w:pPr>
        <w:spacing w:after="120" w:line="240" w:lineRule="auto"/>
        <w:jc w:val="both"/>
        <w:rPr>
          <w:rFonts w:ascii="Times New Roman" w:eastAsia="Calibri" w:hAnsi="Times New Roman" w:cs="Times New Roman"/>
          <w:sz w:val="24"/>
          <w:szCs w:val="24"/>
        </w:rPr>
      </w:pPr>
      <w:r w:rsidRPr="00520AA2">
        <w:rPr>
          <w:rFonts w:ascii="Times New Roman" w:eastAsia="Calibri" w:hAnsi="Times New Roman" w:cs="Times New Roman"/>
          <w:sz w:val="24"/>
          <w:szCs w:val="24"/>
        </w:rPr>
        <w:t xml:space="preserve">Животът на основните съоръжения е удължен с 25 години след направена рехабилитация, която има за цел да гарантира </w:t>
      </w:r>
      <w:r w:rsidR="00520AA2" w:rsidRPr="00520AA2">
        <w:rPr>
          <w:rFonts w:ascii="Times New Roman" w:eastAsia="Calibri" w:hAnsi="Times New Roman" w:cs="Times New Roman"/>
          <w:sz w:val="24"/>
          <w:szCs w:val="24"/>
        </w:rPr>
        <w:t>сигурността на снабдяване с електрическа енергия на територията на Република България, чрез обезпечаване на резерв за електроенергийната система и националния електроенергиен баланс.</w:t>
      </w:r>
      <w:r w:rsidR="00520AA2">
        <w:rPr>
          <w:rFonts w:ascii="Times New Roman" w:eastAsia="Calibri" w:hAnsi="Times New Roman" w:cs="Times New Roman"/>
          <w:sz w:val="24"/>
          <w:szCs w:val="24"/>
        </w:rPr>
        <w:t xml:space="preserve"> В тази връзка с Решение № </w:t>
      </w:r>
      <w:r w:rsidR="00520AA2" w:rsidRPr="00520AA2">
        <w:rPr>
          <w:rFonts w:ascii="Times New Roman" w:eastAsia="Calibri" w:hAnsi="Times New Roman" w:cs="Times New Roman"/>
          <w:sz w:val="24"/>
          <w:szCs w:val="24"/>
        </w:rPr>
        <w:t>И1-Л-091/02.07.2020 г. на КЕВР е продължен срока на лицензията</w:t>
      </w:r>
      <w:r w:rsidR="00520AA2">
        <w:rPr>
          <w:rFonts w:ascii="Times New Roman" w:eastAsia="Calibri" w:hAnsi="Times New Roman" w:cs="Times New Roman"/>
          <w:sz w:val="24"/>
          <w:szCs w:val="24"/>
        </w:rPr>
        <w:t xml:space="preserve"> на „ТЕЦ Марица изток 2“ ЕАД</w:t>
      </w:r>
      <w:r w:rsidR="00520AA2" w:rsidRPr="00520AA2">
        <w:rPr>
          <w:rFonts w:ascii="Times New Roman" w:eastAsia="Calibri" w:hAnsi="Times New Roman" w:cs="Times New Roman"/>
          <w:sz w:val="24"/>
          <w:szCs w:val="24"/>
        </w:rPr>
        <w:t xml:space="preserve"> за производство на електрическа енергия с 20 години, считано от </w:t>
      </w:r>
      <w:r w:rsidR="00520AA2" w:rsidRPr="00520AA2">
        <w:rPr>
          <w:rFonts w:ascii="Times New Roman" w:eastAsia="Calibri" w:hAnsi="Times New Roman" w:cs="Times New Roman"/>
          <w:sz w:val="24"/>
          <w:szCs w:val="24"/>
        </w:rPr>
        <w:lastRenderedPageBreak/>
        <w:t>24.03.2021 г., при спазване на условията на издадените комплексни разрешителни и на нормативните изисквания за контрол на метала, експлоатация и ремонт на основните съоръжения в централата.</w:t>
      </w:r>
    </w:p>
    <w:p w14:paraId="0EF4FBBF" w14:textId="77777777" w:rsidR="00350D96" w:rsidRPr="00370CEB" w:rsidRDefault="001D49C1" w:rsidP="00F30A94">
      <w:pPr>
        <w:spacing w:after="120" w:line="240" w:lineRule="auto"/>
        <w:jc w:val="both"/>
        <w:rPr>
          <w:rFonts w:ascii="Times New Roman" w:hAnsi="Times New Roman" w:cs="Times New Roman"/>
          <w:sz w:val="24"/>
          <w:szCs w:val="24"/>
        </w:rPr>
      </w:pPr>
      <w:r w:rsidRPr="001D49C1">
        <w:rPr>
          <w:rFonts w:ascii="Times New Roman" w:eastAsia="Calibri" w:hAnsi="Times New Roman" w:cs="Times New Roman"/>
          <w:b/>
          <w:sz w:val="24"/>
          <w:szCs w:val="24"/>
        </w:rPr>
        <w:t>С Решение № 755 на Министерския съвет от 21.09.2004 г. топлоелектрическата централа е включена в списъка на стратегическите обекти от национално значение в сектор „Енергетика“, а с Постановление № 181 на Министерския съвет от 20.07.2009 г. е определена като стратегически обект от значение за националната сигурност.</w:t>
      </w:r>
      <w:r w:rsidRPr="001D49C1">
        <w:rPr>
          <w:rFonts w:ascii="Times New Roman" w:eastAsia="Calibri" w:hAnsi="Times New Roman" w:cs="Times New Roman"/>
          <w:sz w:val="24"/>
          <w:szCs w:val="24"/>
        </w:rPr>
        <w:t xml:space="preserve"> Тя е ключов елемент на електроенергийната система (ЕЕС), като осигурява както основен товар за консумация, така и пълноценно участие в регулирането на честотата на напрежението в системата при най-ниска себестойност между останалите топлоелектроцентрали. </w:t>
      </w:r>
      <w:r w:rsidR="00350D96" w:rsidRPr="00370CEB">
        <w:rPr>
          <w:rFonts w:ascii="Times New Roman" w:hAnsi="Times New Roman" w:cs="Times New Roman"/>
          <w:sz w:val="24"/>
          <w:szCs w:val="24"/>
        </w:rPr>
        <w:t xml:space="preserve">Разпалването на котлите в „ТЕЦ Марица изток 2“ ЕАД може да се осъществява както на мазут, така и с </w:t>
      </w:r>
      <w:proofErr w:type="spellStart"/>
      <w:r w:rsidR="00350D96" w:rsidRPr="00370CEB">
        <w:rPr>
          <w:rFonts w:ascii="Times New Roman" w:hAnsi="Times New Roman" w:cs="Times New Roman"/>
          <w:sz w:val="24"/>
          <w:szCs w:val="24"/>
        </w:rPr>
        <w:t>нововъведената</w:t>
      </w:r>
      <w:proofErr w:type="spellEnd"/>
      <w:r w:rsidR="00350D96" w:rsidRPr="00370CEB">
        <w:rPr>
          <w:rFonts w:ascii="Times New Roman" w:hAnsi="Times New Roman" w:cs="Times New Roman"/>
          <w:sz w:val="24"/>
          <w:szCs w:val="24"/>
        </w:rPr>
        <w:t xml:space="preserve"> </w:t>
      </w:r>
      <w:proofErr w:type="spellStart"/>
      <w:r w:rsidR="00350D96" w:rsidRPr="00370CEB">
        <w:rPr>
          <w:rFonts w:ascii="Times New Roman" w:hAnsi="Times New Roman" w:cs="Times New Roman"/>
          <w:sz w:val="24"/>
          <w:szCs w:val="24"/>
        </w:rPr>
        <w:t>газоразпалваща</w:t>
      </w:r>
      <w:proofErr w:type="spellEnd"/>
      <w:r w:rsidR="00350D96" w:rsidRPr="00370CEB">
        <w:rPr>
          <w:rFonts w:ascii="Times New Roman" w:hAnsi="Times New Roman" w:cs="Times New Roman"/>
          <w:sz w:val="24"/>
          <w:szCs w:val="24"/>
        </w:rPr>
        <w:t xml:space="preserve"> инсталация. Това дава възможност едновременно да бъдат разпалени и включени в паралел с ЕЕС до 4 енергоблока ( 2 блока на мазут и в същото време пуск на 2 блока на природен газ), т.е. централата може да въведе в работа до 1/2 от инсталираната си мощност в рамките 8-9 часа.</w:t>
      </w:r>
    </w:p>
    <w:p w14:paraId="5848665E" w14:textId="676A7C8A" w:rsidR="001D49C1" w:rsidRPr="001D49C1" w:rsidRDefault="00350D96" w:rsidP="0031208D">
      <w:pPr>
        <w:spacing w:after="120" w:line="240" w:lineRule="auto"/>
        <w:jc w:val="both"/>
        <w:rPr>
          <w:rFonts w:ascii="Times New Roman" w:eastAsia="Calibri" w:hAnsi="Times New Roman" w:cs="Times New Roman"/>
          <w:sz w:val="24"/>
          <w:szCs w:val="24"/>
        </w:rPr>
      </w:pPr>
      <w:r w:rsidRPr="001D49C1">
        <w:rPr>
          <w:rFonts w:ascii="Times New Roman" w:eastAsia="Calibri" w:hAnsi="Times New Roman" w:cs="Times New Roman"/>
          <w:b/>
          <w:sz w:val="24"/>
          <w:szCs w:val="24"/>
        </w:rPr>
        <w:t xml:space="preserve"> </w:t>
      </w:r>
      <w:r w:rsidR="001D49C1" w:rsidRPr="001D49C1">
        <w:rPr>
          <w:rFonts w:ascii="Times New Roman" w:eastAsia="Calibri" w:hAnsi="Times New Roman" w:cs="Times New Roman"/>
          <w:b/>
          <w:sz w:val="24"/>
          <w:szCs w:val="24"/>
        </w:rPr>
        <w:t xml:space="preserve">„ТЕЦ Марица изток 2” ЕАД е единствената централа, която има връзка с трите нива на напрежение на EEC на Република България - 110, 220 и 400 </w:t>
      </w:r>
      <w:proofErr w:type="spellStart"/>
      <w:r w:rsidR="001D49C1" w:rsidRPr="001D49C1">
        <w:rPr>
          <w:rFonts w:ascii="Times New Roman" w:eastAsia="Calibri" w:hAnsi="Times New Roman" w:cs="Times New Roman"/>
          <w:b/>
          <w:sz w:val="24"/>
          <w:szCs w:val="24"/>
        </w:rPr>
        <w:t>kV</w:t>
      </w:r>
      <w:proofErr w:type="spellEnd"/>
      <w:r w:rsidR="001D49C1" w:rsidRPr="001D49C1">
        <w:rPr>
          <w:rFonts w:ascii="Times New Roman" w:eastAsia="Calibri" w:hAnsi="Times New Roman" w:cs="Times New Roman"/>
          <w:b/>
          <w:sz w:val="24"/>
          <w:szCs w:val="24"/>
        </w:rPr>
        <w:t>, което я прави основен фактор за устойчивата работа на ЕЕС, за ограничаване на разпространението на тежки аварии и подпомагане бързото възстановяване на системата</w:t>
      </w:r>
      <w:r w:rsidR="001D49C1" w:rsidRPr="001D49C1">
        <w:rPr>
          <w:rFonts w:ascii="Times New Roman" w:eastAsia="Calibri" w:hAnsi="Times New Roman" w:cs="Times New Roman"/>
          <w:sz w:val="24"/>
          <w:szCs w:val="24"/>
        </w:rPr>
        <w:t>.</w:t>
      </w:r>
    </w:p>
    <w:p w14:paraId="51EF00D5" w14:textId="77777777" w:rsidR="001D49C1" w:rsidRPr="001D49C1" w:rsidRDefault="001D49C1" w:rsidP="001365A2">
      <w:pPr>
        <w:spacing w:after="120" w:line="240" w:lineRule="auto"/>
        <w:jc w:val="both"/>
        <w:rPr>
          <w:rFonts w:ascii="Times New Roman" w:eastAsia="Calibri" w:hAnsi="Times New Roman" w:cs="Shruti"/>
          <w:b/>
          <w:sz w:val="24"/>
          <w:szCs w:val="24"/>
          <w:u w:val="single"/>
        </w:rPr>
      </w:pPr>
      <w:r w:rsidRPr="001D49C1">
        <w:rPr>
          <w:rFonts w:ascii="Times New Roman" w:eastAsia="Calibri" w:hAnsi="Times New Roman" w:cs="Shruti"/>
          <w:b/>
          <w:sz w:val="24"/>
          <w:szCs w:val="24"/>
          <w:u w:val="single"/>
        </w:rPr>
        <w:t xml:space="preserve">Участие на „ТЕЦ Марица изток 2” ЕАД при възстановяване на електроенергийната система по причина настъпване на тежки аварии в системата. </w:t>
      </w:r>
    </w:p>
    <w:p w14:paraId="6685CF4A" w14:textId="77777777" w:rsidR="001D49C1" w:rsidRPr="001D49C1" w:rsidRDefault="001D49C1" w:rsidP="001365A2">
      <w:pPr>
        <w:spacing w:after="120" w:line="240" w:lineRule="auto"/>
        <w:jc w:val="both"/>
        <w:rPr>
          <w:rFonts w:ascii="Times New Roman" w:eastAsia="Calibri" w:hAnsi="Times New Roman" w:cs="Shruti"/>
          <w:sz w:val="24"/>
          <w:szCs w:val="24"/>
        </w:rPr>
      </w:pPr>
      <w:r w:rsidRPr="001D49C1">
        <w:rPr>
          <w:rFonts w:ascii="Times New Roman" w:eastAsia="Calibri" w:hAnsi="Times New Roman" w:cs="Shruti"/>
          <w:sz w:val="24"/>
          <w:szCs w:val="24"/>
        </w:rPr>
        <w:t>При тежки аварии е възможно частично или пълно разпадане на ЕЕС и загуба на собствени нужди на термичните централи.</w:t>
      </w:r>
    </w:p>
    <w:p w14:paraId="3F53C8B8" w14:textId="77777777" w:rsidR="001D49C1" w:rsidRPr="001D49C1" w:rsidRDefault="001D49C1" w:rsidP="00F30A94">
      <w:pPr>
        <w:tabs>
          <w:tab w:val="left" w:pos="426"/>
        </w:tabs>
        <w:spacing w:after="0" w:line="240" w:lineRule="auto"/>
        <w:jc w:val="both"/>
        <w:rPr>
          <w:rFonts w:ascii="Times New Roman" w:eastAsia="Calibri" w:hAnsi="Times New Roman" w:cs="Shruti"/>
          <w:color w:val="000000"/>
          <w:sz w:val="24"/>
          <w:szCs w:val="24"/>
        </w:rPr>
      </w:pPr>
      <w:r w:rsidRPr="001D49C1">
        <w:rPr>
          <w:rFonts w:ascii="Times New Roman" w:eastAsia="Calibri" w:hAnsi="Times New Roman" w:cs="Shruti"/>
          <w:color w:val="000000"/>
          <w:sz w:val="24"/>
          <w:szCs w:val="24"/>
        </w:rPr>
        <w:t>Тъй като не могат да бъдат предвидени всички възможни варианти на системни аварии, има разработен план за възстановяване на ЕЕС след тежки аварии, който обхваща началните действия при пълно разпадане на системата, като се преминава през следните етапи:</w:t>
      </w:r>
    </w:p>
    <w:p w14:paraId="0C4801CE" w14:textId="77777777" w:rsidR="001D49C1" w:rsidRPr="001D49C1" w:rsidRDefault="001D49C1" w:rsidP="00F30A94">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D49C1">
        <w:rPr>
          <w:rFonts w:ascii="Times New Roman" w:eastAsia="Calibri" w:hAnsi="Times New Roman" w:cs="Shruti"/>
          <w:color w:val="000000"/>
          <w:sz w:val="24"/>
          <w:szCs w:val="24"/>
        </w:rPr>
        <w:t>Осигуряване на аварийна помощ от съседни ЕЕС.</w:t>
      </w:r>
    </w:p>
    <w:p w14:paraId="4179EFD6" w14:textId="77777777" w:rsidR="001D49C1" w:rsidRPr="001D49C1" w:rsidRDefault="001D49C1" w:rsidP="00F30A94">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D49C1">
        <w:rPr>
          <w:rFonts w:ascii="Times New Roman" w:eastAsia="Calibri" w:hAnsi="Times New Roman" w:cs="Shruti"/>
          <w:color w:val="000000"/>
          <w:sz w:val="24"/>
          <w:szCs w:val="24"/>
        </w:rPr>
        <w:t>Разширяване на районите около термичните централи, запазили собствените си нужди и отделили се като „острови”.</w:t>
      </w:r>
    </w:p>
    <w:p w14:paraId="7DF2C0D3" w14:textId="77777777" w:rsidR="001D49C1" w:rsidRPr="001D49C1" w:rsidRDefault="001D49C1" w:rsidP="00F30A94">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D49C1">
        <w:rPr>
          <w:rFonts w:ascii="Times New Roman" w:eastAsia="Calibri" w:hAnsi="Times New Roman" w:cs="Shruti"/>
          <w:color w:val="000000"/>
          <w:sz w:val="24"/>
          <w:szCs w:val="24"/>
        </w:rPr>
        <w:t>Пускане на стартови ВЕЦ на коридорите.</w:t>
      </w:r>
    </w:p>
    <w:p w14:paraId="64DC67EB" w14:textId="77777777" w:rsidR="001D49C1" w:rsidRPr="001D49C1" w:rsidRDefault="001D49C1" w:rsidP="00F30A94">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D49C1">
        <w:rPr>
          <w:rFonts w:ascii="Times New Roman" w:eastAsia="Calibri" w:hAnsi="Times New Roman" w:cs="Shruti"/>
          <w:color w:val="000000"/>
          <w:sz w:val="24"/>
          <w:szCs w:val="24"/>
        </w:rPr>
        <w:t>Изграждане на коридори за осигуряване на собствени нужди на възлови термични централи.</w:t>
      </w:r>
    </w:p>
    <w:p w14:paraId="768B9994" w14:textId="77777777" w:rsidR="001D49C1" w:rsidRPr="001D49C1" w:rsidRDefault="001D49C1" w:rsidP="00F30A94">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D49C1">
        <w:rPr>
          <w:rFonts w:ascii="Times New Roman" w:eastAsia="Calibri" w:hAnsi="Times New Roman" w:cs="Shruti"/>
          <w:color w:val="000000"/>
          <w:sz w:val="24"/>
          <w:szCs w:val="24"/>
        </w:rPr>
        <w:t>Разширяване на коридорите около централите за осигуряване на постепенно натоварване.</w:t>
      </w:r>
    </w:p>
    <w:p w14:paraId="648FC297" w14:textId="77777777" w:rsidR="001D49C1" w:rsidRPr="001D49C1" w:rsidRDefault="001D49C1" w:rsidP="00F30A94">
      <w:pPr>
        <w:numPr>
          <w:ilvl w:val="0"/>
          <w:numId w:val="8"/>
        </w:numPr>
        <w:tabs>
          <w:tab w:val="left" w:pos="426"/>
        </w:tabs>
        <w:spacing w:after="0" w:line="240" w:lineRule="auto"/>
        <w:ind w:firstLine="709"/>
        <w:jc w:val="both"/>
        <w:rPr>
          <w:rFonts w:ascii="Times New Roman" w:eastAsia="Calibri" w:hAnsi="Times New Roman" w:cs="Shruti"/>
          <w:color w:val="000000"/>
          <w:sz w:val="24"/>
          <w:szCs w:val="24"/>
        </w:rPr>
      </w:pPr>
      <w:r w:rsidRPr="001D49C1">
        <w:rPr>
          <w:rFonts w:ascii="Times New Roman" w:eastAsia="Calibri" w:hAnsi="Times New Roman" w:cs="Shruti"/>
          <w:color w:val="000000"/>
          <w:sz w:val="24"/>
          <w:szCs w:val="24"/>
        </w:rPr>
        <w:t>Свързване на районите и възстановяване на преносната мрежа.</w:t>
      </w:r>
    </w:p>
    <w:p w14:paraId="7A29168F" w14:textId="77777777" w:rsidR="001D49C1" w:rsidRPr="001D49C1" w:rsidRDefault="001D49C1" w:rsidP="001365A2">
      <w:pPr>
        <w:tabs>
          <w:tab w:val="left" w:pos="426"/>
        </w:tabs>
        <w:spacing w:after="120" w:line="240" w:lineRule="auto"/>
        <w:jc w:val="both"/>
        <w:rPr>
          <w:rFonts w:ascii="Times New Roman" w:eastAsia="Calibri" w:hAnsi="Times New Roman" w:cs="Shruti"/>
          <w:b/>
          <w:sz w:val="24"/>
          <w:szCs w:val="24"/>
          <w:u w:val="single"/>
        </w:rPr>
      </w:pPr>
    </w:p>
    <w:p w14:paraId="155367E2" w14:textId="77777777" w:rsidR="001D49C1" w:rsidRPr="001D49C1" w:rsidRDefault="001D49C1" w:rsidP="001365A2">
      <w:pPr>
        <w:tabs>
          <w:tab w:val="left" w:pos="426"/>
        </w:tabs>
        <w:spacing w:after="120" w:line="240" w:lineRule="auto"/>
        <w:jc w:val="both"/>
        <w:rPr>
          <w:rFonts w:ascii="Times New Roman" w:eastAsia="Calibri" w:hAnsi="Times New Roman" w:cs="Shruti"/>
          <w:b/>
          <w:sz w:val="24"/>
          <w:szCs w:val="24"/>
          <w:u w:val="single"/>
        </w:rPr>
      </w:pPr>
      <w:r w:rsidRPr="001D49C1">
        <w:rPr>
          <w:rFonts w:ascii="Times New Roman" w:eastAsia="Calibri" w:hAnsi="Times New Roman" w:cs="Shruti"/>
          <w:b/>
          <w:sz w:val="24"/>
          <w:szCs w:val="24"/>
          <w:u w:val="single"/>
        </w:rPr>
        <w:t>Възстановяването на работата на електроенергийната система, чрез ефективно използване на мощностите на „ТЕЦ Марица изток 2” ЕАД се извършва успешно защото:</w:t>
      </w:r>
    </w:p>
    <w:p w14:paraId="3BC50D5D" w14:textId="77777777" w:rsidR="001D49C1" w:rsidRPr="001D49C1" w:rsidRDefault="001D49C1" w:rsidP="001365A2">
      <w:pPr>
        <w:numPr>
          <w:ilvl w:val="0"/>
          <w:numId w:val="9"/>
        </w:numPr>
        <w:tabs>
          <w:tab w:val="left" w:pos="426"/>
          <w:tab w:val="num" w:pos="1065"/>
        </w:tabs>
        <w:spacing w:after="120" w:line="240" w:lineRule="auto"/>
        <w:ind w:firstLine="709"/>
        <w:jc w:val="both"/>
        <w:rPr>
          <w:rFonts w:ascii="Times New Roman" w:eastAsia="Calibri" w:hAnsi="Times New Roman" w:cs="Shruti"/>
          <w:b/>
          <w:i/>
          <w:sz w:val="24"/>
          <w:szCs w:val="24"/>
        </w:rPr>
      </w:pPr>
      <w:r w:rsidRPr="001D49C1">
        <w:rPr>
          <w:rFonts w:ascii="Times New Roman" w:eastAsia="Calibri" w:hAnsi="Times New Roman" w:cs="Shruti"/>
          <w:b/>
          <w:i/>
          <w:sz w:val="24"/>
          <w:szCs w:val="24"/>
        </w:rPr>
        <w:t>На всички блокове са направени успешни опити за „хвърляне” на товар и запазване на блока да работи за собствени нужди.</w:t>
      </w:r>
    </w:p>
    <w:p w14:paraId="119E6E79" w14:textId="77777777" w:rsidR="001D49C1" w:rsidRPr="001D49C1" w:rsidRDefault="001D49C1" w:rsidP="001365A2">
      <w:pPr>
        <w:numPr>
          <w:ilvl w:val="0"/>
          <w:numId w:val="9"/>
        </w:numPr>
        <w:tabs>
          <w:tab w:val="left" w:pos="426"/>
          <w:tab w:val="num" w:pos="1065"/>
        </w:tabs>
        <w:spacing w:after="120" w:line="240" w:lineRule="auto"/>
        <w:ind w:firstLine="709"/>
        <w:jc w:val="both"/>
        <w:rPr>
          <w:rFonts w:ascii="Times New Roman" w:eastAsia="Calibri" w:hAnsi="Times New Roman" w:cs="Shruti"/>
          <w:sz w:val="24"/>
          <w:szCs w:val="24"/>
        </w:rPr>
      </w:pPr>
      <w:r w:rsidRPr="001D49C1">
        <w:rPr>
          <w:rFonts w:ascii="Times New Roman" w:eastAsia="Calibri" w:hAnsi="Times New Roman" w:cs="Shruti"/>
          <w:sz w:val="24"/>
          <w:szCs w:val="24"/>
        </w:rPr>
        <w:lastRenderedPageBreak/>
        <w:t>В реални условия, дори всички работещи блокове да не успеят да останат да работят за собствени нужди, поради гъвкавостта на схемата за собствени нужди на централата с определени превключвания може да се осигури достатъчно товар на останалите в работа блокове или блок, така че да работи стабилно до изграждане на коридор и синхронизиране с коридора.</w:t>
      </w:r>
    </w:p>
    <w:p w14:paraId="0600C897" w14:textId="77777777" w:rsidR="001D49C1" w:rsidRPr="001D49C1" w:rsidRDefault="001D49C1" w:rsidP="001365A2">
      <w:pPr>
        <w:numPr>
          <w:ilvl w:val="0"/>
          <w:numId w:val="9"/>
        </w:numPr>
        <w:tabs>
          <w:tab w:val="left" w:pos="426"/>
          <w:tab w:val="left" w:pos="709"/>
          <w:tab w:val="num" w:pos="1065"/>
        </w:tabs>
        <w:spacing w:after="120" w:line="240" w:lineRule="auto"/>
        <w:ind w:firstLine="709"/>
        <w:jc w:val="both"/>
        <w:rPr>
          <w:rFonts w:ascii="Times New Roman" w:eastAsia="Calibri" w:hAnsi="Times New Roman" w:cs="Shruti"/>
          <w:sz w:val="24"/>
          <w:szCs w:val="24"/>
        </w:rPr>
      </w:pPr>
      <w:r w:rsidRPr="001D49C1">
        <w:rPr>
          <w:rFonts w:ascii="Times New Roman" w:eastAsia="Calibri" w:hAnsi="Times New Roman" w:cs="Shruti"/>
          <w:b/>
          <w:i/>
          <w:sz w:val="24"/>
          <w:szCs w:val="24"/>
        </w:rPr>
        <w:t>При пълна загуба на собствени нужди, в списъка с възловите термични централи, на които трябва да бъде осигурено напрежение от коридор, „ТЕЦ Марица изток 2” ЕАД е на първо място. Предвидени са три варианта за изграждане на коридор, в зависимост от това възможна ли е помощ от съседни ЕЕС, текущото състояние на мрежата, водните централи и котите на язовирите.</w:t>
      </w:r>
      <w:r w:rsidRPr="001D49C1">
        <w:rPr>
          <w:rFonts w:ascii="Times New Roman" w:eastAsia="Calibri" w:hAnsi="Times New Roman" w:cs="Shruti"/>
          <w:sz w:val="24"/>
          <w:szCs w:val="24"/>
        </w:rPr>
        <w:t xml:space="preserve"> </w:t>
      </w:r>
    </w:p>
    <w:p w14:paraId="671BF7E9" w14:textId="77777777" w:rsidR="001D49C1" w:rsidRPr="001D49C1" w:rsidRDefault="001D49C1" w:rsidP="001365A2">
      <w:pPr>
        <w:spacing w:after="120" w:line="240" w:lineRule="auto"/>
        <w:ind w:firstLine="709"/>
        <w:rPr>
          <w:rFonts w:ascii="Times New Roman" w:eastAsia="Calibri" w:hAnsi="Times New Roman" w:cs="Shruti"/>
          <w:b/>
          <w:sz w:val="24"/>
          <w:szCs w:val="24"/>
          <w:u w:val="single"/>
        </w:rPr>
      </w:pPr>
      <w:r w:rsidRPr="001D49C1">
        <w:rPr>
          <w:rFonts w:ascii="Times New Roman" w:eastAsia="Calibri" w:hAnsi="Times New Roman" w:cs="Shruti"/>
          <w:b/>
          <w:sz w:val="24"/>
          <w:szCs w:val="24"/>
          <w:u w:val="single"/>
        </w:rPr>
        <w:t>Коридорите са следните:</w:t>
      </w:r>
    </w:p>
    <w:p w14:paraId="3702822F" w14:textId="77777777" w:rsidR="001D49C1" w:rsidRPr="001D49C1" w:rsidRDefault="001D49C1" w:rsidP="001365A2">
      <w:pPr>
        <w:spacing w:after="120" w:line="240" w:lineRule="auto"/>
        <w:ind w:firstLine="709"/>
        <w:rPr>
          <w:rFonts w:ascii="Times New Roman" w:eastAsia="Calibri" w:hAnsi="Times New Roman" w:cs="Shruti"/>
          <w:sz w:val="24"/>
          <w:szCs w:val="24"/>
        </w:rPr>
      </w:pPr>
      <w:r w:rsidRPr="001D49C1">
        <w:rPr>
          <w:rFonts w:ascii="Times New Roman" w:eastAsia="Calibri" w:hAnsi="Times New Roman" w:cs="Shruti"/>
          <w:sz w:val="24"/>
          <w:szCs w:val="24"/>
        </w:rPr>
        <w:t>Коридор 1: От ВЕЦ „Студен кладенец”</w:t>
      </w:r>
    </w:p>
    <w:p w14:paraId="7649050F" w14:textId="77777777" w:rsidR="001D49C1" w:rsidRPr="001D49C1" w:rsidRDefault="001D49C1" w:rsidP="001365A2">
      <w:pPr>
        <w:spacing w:after="120" w:line="240" w:lineRule="auto"/>
        <w:ind w:firstLine="709"/>
        <w:rPr>
          <w:rFonts w:ascii="Times New Roman" w:eastAsia="Calibri" w:hAnsi="Times New Roman" w:cs="Shruti"/>
          <w:sz w:val="24"/>
          <w:szCs w:val="24"/>
        </w:rPr>
      </w:pPr>
      <w:r w:rsidRPr="001D49C1">
        <w:rPr>
          <w:rFonts w:ascii="Times New Roman" w:eastAsia="Calibri" w:hAnsi="Times New Roman" w:cs="Shruti"/>
          <w:sz w:val="24"/>
          <w:szCs w:val="24"/>
        </w:rPr>
        <w:t>Коридор 2: От ВЕЦ „Пещера” (ПАВЕЦ „Орфей”)</w:t>
      </w:r>
    </w:p>
    <w:p w14:paraId="6A54154B" w14:textId="77777777" w:rsidR="001D49C1" w:rsidRPr="001D49C1" w:rsidRDefault="001D49C1" w:rsidP="001365A2">
      <w:pPr>
        <w:spacing w:after="120" w:line="240" w:lineRule="auto"/>
        <w:ind w:firstLine="709"/>
        <w:rPr>
          <w:rFonts w:ascii="Times New Roman" w:eastAsia="Calibri" w:hAnsi="Times New Roman" w:cs="Shruti"/>
          <w:sz w:val="24"/>
          <w:szCs w:val="24"/>
        </w:rPr>
      </w:pPr>
      <w:r w:rsidRPr="001D49C1">
        <w:rPr>
          <w:rFonts w:ascii="Times New Roman" w:eastAsia="Calibri" w:hAnsi="Times New Roman" w:cs="Shruti"/>
          <w:sz w:val="24"/>
          <w:szCs w:val="24"/>
        </w:rPr>
        <w:t>Коридор 3: От Подстанция „Добруджа”</w:t>
      </w:r>
    </w:p>
    <w:p w14:paraId="46CA7016" w14:textId="7FAA1D78" w:rsidR="001D49C1" w:rsidRPr="001D49C1" w:rsidRDefault="001D49C1" w:rsidP="001365A2">
      <w:pPr>
        <w:spacing w:after="120" w:line="240" w:lineRule="auto"/>
        <w:jc w:val="both"/>
        <w:rPr>
          <w:rFonts w:ascii="Times New Roman" w:eastAsia="Calibri" w:hAnsi="Times New Roman" w:cs="Shruti"/>
          <w:sz w:val="24"/>
          <w:szCs w:val="24"/>
        </w:rPr>
      </w:pPr>
      <w:r w:rsidRPr="001D49C1">
        <w:rPr>
          <w:rFonts w:ascii="Times New Roman" w:eastAsia="Calibri" w:hAnsi="Times New Roman" w:cs="Shruti"/>
          <w:sz w:val="24"/>
          <w:szCs w:val="24"/>
        </w:rPr>
        <w:tab/>
        <w:t xml:space="preserve">При коридор 1 и 2 „ТЕЦ Марица изток 2” ЕАД чака напрежение по изводи „Сила” или „Светлина”, а </w:t>
      </w:r>
      <w:r w:rsidRPr="001D49C1">
        <w:rPr>
          <w:rFonts w:ascii="Times New Roman" w:eastAsia="Calibri" w:hAnsi="Times New Roman" w:cs="Shruti"/>
          <w:sz w:val="24"/>
          <w:szCs w:val="24"/>
          <w:lang w:val="ru-RU"/>
        </w:rPr>
        <w:t xml:space="preserve">за </w:t>
      </w:r>
      <w:r w:rsidRPr="001D49C1">
        <w:rPr>
          <w:rFonts w:ascii="Times New Roman" w:eastAsia="Calibri" w:hAnsi="Times New Roman" w:cs="Shruti"/>
          <w:sz w:val="24"/>
          <w:szCs w:val="24"/>
        </w:rPr>
        <w:t>разширяване на коридора подава напрежение на подстанция „Добруджа” по извод „Камчия”.</w:t>
      </w:r>
    </w:p>
    <w:p w14:paraId="7049911E" w14:textId="77777777" w:rsidR="001D49C1" w:rsidRPr="001D49C1" w:rsidRDefault="001D49C1" w:rsidP="001365A2">
      <w:pPr>
        <w:spacing w:after="120" w:line="240" w:lineRule="auto"/>
        <w:jc w:val="both"/>
        <w:rPr>
          <w:rFonts w:ascii="Times New Roman" w:eastAsia="Calibri" w:hAnsi="Times New Roman" w:cs="Shruti"/>
          <w:sz w:val="24"/>
          <w:szCs w:val="24"/>
        </w:rPr>
      </w:pPr>
      <w:r w:rsidRPr="001D49C1">
        <w:rPr>
          <w:rFonts w:ascii="Times New Roman" w:eastAsia="Calibri" w:hAnsi="Times New Roman" w:cs="Shruti"/>
          <w:sz w:val="24"/>
          <w:szCs w:val="24"/>
        </w:rPr>
        <w:t>При коридор 3 „ТЕЦ Марица изток 2” ЕАД чака напрежение по извод „Камчия” от подстанция „Добруджа” и за разширяване на коридора подава напрежение за ТЕЦ „Контур Глобал” по извод „Овчарица”.</w:t>
      </w:r>
    </w:p>
    <w:p w14:paraId="2DC0251D" w14:textId="77777777" w:rsidR="001D49C1" w:rsidRPr="001D49C1" w:rsidRDefault="001D49C1" w:rsidP="001365A2">
      <w:pPr>
        <w:spacing w:after="120" w:line="240" w:lineRule="auto"/>
        <w:jc w:val="both"/>
        <w:rPr>
          <w:rFonts w:ascii="Times New Roman" w:eastAsia="Calibri" w:hAnsi="Times New Roman" w:cs="Shruti"/>
          <w:sz w:val="24"/>
          <w:szCs w:val="24"/>
        </w:rPr>
      </w:pPr>
      <w:r w:rsidRPr="001D49C1">
        <w:rPr>
          <w:rFonts w:ascii="Times New Roman" w:eastAsia="Calibri" w:hAnsi="Times New Roman" w:cs="Shruti"/>
          <w:sz w:val="24"/>
          <w:szCs w:val="24"/>
        </w:rPr>
        <w:t>При възстановяване на ЕЕС „ТЕЦ Марица изток 2” ЕАД подава напрежение на подстанция „Добруджа” по извод „Камчия” и подава напрежение за ТЕЦ „Контур Глобал” по извод „Овчарица”.  След което следва Свързване на районите и възстановяване на преносната мрежа.</w:t>
      </w:r>
    </w:p>
    <w:p w14:paraId="5DDAE3BB" w14:textId="77777777" w:rsidR="006249F3" w:rsidRDefault="001D49C1" w:rsidP="001365A2">
      <w:pPr>
        <w:autoSpaceDE w:val="0"/>
        <w:autoSpaceDN w:val="0"/>
        <w:adjustRightInd w:val="0"/>
        <w:spacing w:after="120" w:line="240" w:lineRule="auto"/>
        <w:jc w:val="both"/>
        <w:rPr>
          <w:rFonts w:ascii="Times New Roman" w:eastAsia="Times New Roman" w:hAnsi="Times New Roman" w:cs="Times New Roman"/>
          <w:sz w:val="24"/>
          <w:szCs w:val="24"/>
          <w:lang w:eastAsia="bg-BG"/>
        </w:rPr>
      </w:pPr>
      <w:r w:rsidRPr="0051658F">
        <w:rPr>
          <w:rFonts w:ascii="Times New Roman" w:eastAsia="Times New Roman" w:hAnsi="Times New Roman" w:cs="Times New Roman"/>
          <w:sz w:val="24"/>
          <w:szCs w:val="24"/>
          <w:lang w:eastAsia="bg-BG"/>
        </w:rPr>
        <w:t>Предвид изложеното по-горе, отново бихме искали да обърнем внимание, че когато говорим за енергийна сигурност и гарантиране на снабдяването с електрическа енергия, не можем да се позова</w:t>
      </w:r>
      <w:r w:rsidR="0051658F">
        <w:rPr>
          <w:rFonts w:ascii="Times New Roman" w:eastAsia="Times New Roman" w:hAnsi="Times New Roman" w:cs="Times New Roman"/>
          <w:sz w:val="24"/>
          <w:szCs w:val="24"/>
          <w:lang w:eastAsia="bg-BG"/>
        </w:rPr>
        <w:t>ва</w:t>
      </w:r>
      <w:r w:rsidRPr="0051658F">
        <w:rPr>
          <w:rFonts w:ascii="Times New Roman" w:eastAsia="Times New Roman" w:hAnsi="Times New Roman" w:cs="Times New Roman"/>
          <w:sz w:val="24"/>
          <w:szCs w:val="24"/>
          <w:lang w:eastAsia="bg-BG"/>
        </w:rPr>
        <w:t xml:space="preserve">ме единствено на статистически данни за възникнали тежки аварии и предприети действия за тяхното отстраняване, съгласно текстовете предвидени в Правилата за управление на електроенергийната система (ПУЕЕС). Грижата за енергийната сигурност, като стратегическа инфраструктура е непрекъснат процес и оценката за нейния успех е наличието на непрекъснати енергийни доставки за всички потребители на територията на Р България. Ето защо, </w:t>
      </w:r>
      <w:r w:rsidR="0051658F">
        <w:rPr>
          <w:rFonts w:ascii="Times New Roman" w:eastAsia="Times New Roman" w:hAnsi="Times New Roman" w:cs="Times New Roman"/>
          <w:sz w:val="24"/>
          <w:szCs w:val="24"/>
          <w:lang w:eastAsia="bg-BG"/>
        </w:rPr>
        <w:t>п</w:t>
      </w:r>
      <w:r w:rsidRPr="001D49C1">
        <w:rPr>
          <w:rFonts w:ascii="Times New Roman" w:eastAsia="Times New Roman" w:hAnsi="Times New Roman" w:cs="Times New Roman"/>
          <w:sz w:val="24"/>
          <w:szCs w:val="24"/>
          <w:lang w:eastAsia="bg-BG"/>
        </w:rPr>
        <w:t xml:space="preserve">ризнаването </w:t>
      </w:r>
      <w:r w:rsidR="0051658F">
        <w:rPr>
          <w:rFonts w:ascii="Times New Roman" w:eastAsia="Times New Roman" w:hAnsi="Times New Roman" w:cs="Times New Roman"/>
          <w:sz w:val="24"/>
          <w:szCs w:val="24"/>
          <w:lang w:eastAsia="bg-BG"/>
        </w:rPr>
        <w:t xml:space="preserve">и компенсирането </w:t>
      </w:r>
      <w:r w:rsidRPr="001D49C1">
        <w:rPr>
          <w:rFonts w:ascii="Times New Roman" w:eastAsia="Times New Roman" w:hAnsi="Times New Roman" w:cs="Times New Roman"/>
          <w:sz w:val="24"/>
          <w:szCs w:val="24"/>
          <w:lang w:eastAsia="bg-BG"/>
        </w:rPr>
        <w:t xml:space="preserve">на </w:t>
      </w:r>
      <w:r w:rsidR="0051658F">
        <w:rPr>
          <w:rFonts w:ascii="Times New Roman" w:eastAsia="Times New Roman" w:hAnsi="Times New Roman" w:cs="Times New Roman"/>
          <w:sz w:val="24"/>
          <w:szCs w:val="24"/>
          <w:lang w:eastAsia="bg-BG"/>
        </w:rPr>
        <w:t xml:space="preserve">извършените </w:t>
      </w:r>
      <w:r w:rsidRPr="001D49C1">
        <w:rPr>
          <w:rFonts w:ascii="Times New Roman" w:eastAsia="Times New Roman" w:hAnsi="Times New Roman" w:cs="Times New Roman"/>
          <w:sz w:val="24"/>
          <w:szCs w:val="24"/>
          <w:lang w:eastAsia="bg-BG"/>
        </w:rPr>
        <w:t>разходите</w:t>
      </w:r>
      <w:r w:rsidR="006249F3">
        <w:rPr>
          <w:rFonts w:ascii="Times New Roman" w:eastAsia="Times New Roman" w:hAnsi="Times New Roman" w:cs="Times New Roman"/>
          <w:sz w:val="24"/>
          <w:szCs w:val="24"/>
          <w:lang w:eastAsia="bg-BG"/>
        </w:rPr>
        <w:t xml:space="preserve"> по чл. 35 от ЗЕ </w:t>
      </w:r>
      <w:r w:rsidRPr="001D49C1">
        <w:rPr>
          <w:rFonts w:ascii="Times New Roman" w:eastAsia="Times New Roman" w:hAnsi="Times New Roman" w:cs="Times New Roman"/>
          <w:sz w:val="24"/>
          <w:szCs w:val="24"/>
          <w:lang w:eastAsia="bg-BG"/>
        </w:rPr>
        <w:t xml:space="preserve">имат за цел да осигурят безопасната техническа експлоатация на съществуващите съоръжения на централа, с оглед гарантиране на енергийните доставки. </w:t>
      </w:r>
    </w:p>
    <w:p w14:paraId="3200D68F" w14:textId="77777777" w:rsidR="00393BED" w:rsidRDefault="00393BED" w:rsidP="001365A2">
      <w:pPr>
        <w:shd w:val="clear" w:color="auto" w:fill="FFFFFF" w:themeFill="background1"/>
        <w:spacing w:after="120" w:line="240" w:lineRule="auto"/>
        <w:jc w:val="both"/>
        <w:rPr>
          <w:rFonts w:ascii="Times New Roman" w:eastAsia="Times New Roman" w:hAnsi="Times New Roman" w:cs="Times New Roman"/>
          <w:b/>
          <w:sz w:val="24"/>
          <w:szCs w:val="24"/>
          <w:lang w:eastAsia="bg-BG"/>
        </w:rPr>
      </w:pPr>
      <w:r w:rsidRPr="00393BED">
        <w:rPr>
          <w:rFonts w:ascii="Times New Roman" w:eastAsia="Times New Roman" w:hAnsi="Times New Roman" w:cs="Times New Roman"/>
          <w:sz w:val="24"/>
          <w:szCs w:val="24"/>
          <w:lang w:eastAsia="bg-BG"/>
        </w:rPr>
        <w:t xml:space="preserve">С Решение № Ц-29/01.07.2020 г. на КЕВР, задължителните количества електрическа енергия, предоставяни от „ТЕЦ Марица изток 2“ЕАД на обществения доставчик – </w:t>
      </w:r>
      <w:proofErr w:type="spellStart"/>
      <w:r w:rsidRPr="00393BED">
        <w:rPr>
          <w:rFonts w:ascii="Times New Roman" w:eastAsia="Times New Roman" w:hAnsi="Times New Roman" w:cs="Times New Roman"/>
          <w:sz w:val="24"/>
          <w:szCs w:val="24"/>
          <w:lang w:eastAsia="bg-BG"/>
        </w:rPr>
        <w:t>арг</w:t>
      </w:r>
      <w:proofErr w:type="spellEnd"/>
      <w:r w:rsidRPr="00393BED">
        <w:rPr>
          <w:rFonts w:ascii="Times New Roman" w:eastAsia="Times New Roman" w:hAnsi="Times New Roman" w:cs="Times New Roman"/>
          <w:sz w:val="24"/>
          <w:szCs w:val="24"/>
          <w:lang w:eastAsia="bg-BG"/>
        </w:rPr>
        <w:t>. от чл. 93а, ал. 1, т. 3 във връзка с чл. 4, ал. 1, т. 8 от ЗЕ., са включени в „</w:t>
      </w:r>
      <w:proofErr w:type="spellStart"/>
      <w:r w:rsidRPr="00393BED">
        <w:rPr>
          <w:rFonts w:ascii="Times New Roman" w:eastAsia="Times New Roman" w:hAnsi="Times New Roman" w:cs="Times New Roman"/>
          <w:sz w:val="24"/>
          <w:szCs w:val="24"/>
          <w:lang w:eastAsia="bg-BG"/>
        </w:rPr>
        <w:t>миксовата</w:t>
      </w:r>
      <w:proofErr w:type="spellEnd"/>
      <w:r w:rsidRPr="00393BED">
        <w:rPr>
          <w:rFonts w:ascii="Times New Roman" w:eastAsia="Times New Roman" w:hAnsi="Times New Roman" w:cs="Times New Roman"/>
          <w:sz w:val="24"/>
          <w:szCs w:val="24"/>
          <w:lang w:eastAsia="bg-BG"/>
        </w:rPr>
        <w:t xml:space="preserve"> цена за клиентите на регулиран пазар“ по цена 99,18 лв./</w:t>
      </w:r>
      <w:proofErr w:type="spellStart"/>
      <w:r w:rsidRPr="00393BED">
        <w:rPr>
          <w:rFonts w:ascii="Times New Roman" w:eastAsia="Times New Roman" w:hAnsi="Times New Roman" w:cs="Times New Roman"/>
          <w:sz w:val="24"/>
          <w:szCs w:val="24"/>
          <w:lang w:eastAsia="bg-BG"/>
        </w:rPr>
        <w:t>МВтч</w:t>
      </w:r>
      <w:proofErr w:type="spellEnd"/>
      <w:r w:rsidRPr="00393BED">
        <w:rPr>
          <w:rFonts w:ascii="Times New Roman" w:eastAsia="Times New Roman" w:hAnsi="Times New Roman" w:cs="Times New Roman"/>
          <w:sz w:val="24"/>
          <w:szCs w:val="24"/>
          <w:lang w:eastAsia="bg-BG"/>
        </w:rPr>
        <w:t>, а разликата до 135,95 лв./</w:t>
      </w:r>
      <w:proofErr w:type="spellStart"/>
      <w:r w:rsidRPr="00393BED">
        <w:rPr>
          <w:rFonts w:ascii="Times New Roman" w:eastAsia="Times New Roman" w:hAnsi="Times New Roman" w:cs="Times New Roman"/>
          <w:sz w:val="24"/>
          <w:szCs w:val="24"/>
          <w:lang w:eastAsia="bg-BG"/>
        </w:rPr>
        <w:t>МВтч</w:t>
      </w:r>
      <w:proofErr w:type="spellEnd"/>
      <w:r w:rsidRPr="00393BED">
        <w:rPr>
          <w:rFonts w:ascii="Times New Roman" w:eastAsia="Times New Roman" w:hAnsi="Times New Roman" w:cs="Times New Roman"/>
          <w:sz w:val="24"/>
          <w:szCs w:val="24"/>
          <w:lang w:eastAsia="bg-BG"/>
        </w:rPr>
        <w:t xml:space="preserve"> следва да се компенсира чрез приходите от Фонд сигурност на електроенергийната система (ФСЕЕС) или чрез „Цената за задължения към обществото“. В тази връзка, определената с решението компенсация за периода 01.07.2020 – 30.06.2021 г. на „ТЕЦ Марица изток 2“ЕАД е в размер на 95 609 хил. лв., която участва като ценови компонент в „Цената за задължения към обществото“ </w:t>
      </w:r>
      <w:r w:rsidRPr="00393BED">
        <w:rPr>
          <w:rFonts w:ascii="Times New Roman" w:eastAsia="Times New Roman" w:hAnsi="Times New Roman" w:cs="Times New Roman"/>
          <w:b/>
          <w:sz w:val="24"/>
          <w:szCs w:val="24"/>
          <w:lang w:eastAsia="bg-BG"/>
        </w:rPr>
        <w:t>в размер на 2,86 лв./</w:t>
      </w:r>
      <w:proofErr w:type="spellStart"/>
      <w:r w:rsidRPr="00393BED">
        <w:rPr>
          <w:rFonts w:ascii="Times New Roman" w:eastAsia="Times New Roman" w:hAnsi="Times New Roman" w:cs="Times New Roman"/>
          <w:b/>
          <w:sz w:val="24"/>
          <w:szCs w:val="24"/>
          <w:lang w:eastAsia="bg-BG"/>
        </w:rPr>
        <w:t>МВтч</w:t>
      </w:r>
      <w:proofErr w:type="spellEnd"/>
      <w:r w:rsidRPr="00393BED">
        <w:rPr>
          <w:rFonts w:ascii="Times New Roman" w:eastAsia="Times New Roman" w:hAnsi="Times New Roman" w:cs="Times New Roman"/>
          <w:b/>
          <w:sz w:val="24"/>
          <w:szCs w:val="24"/>
          <w:lang w:eastAsia="bg-BG"/>
        </w:rPr>
        <w:t xml:space="preserve">. Приходите от </w:t>
      </w:r>
      <w:r w:rsidRPr="00393BED">
        <w:rPr>
          <w:rFonts w:ascii="Times New Roman" w:eastAsia="Times New Roman" w:hAnsi="Times New Roman" w:cs="Times New Roman"/>
          <w:b/>
          <w:sz w:val="24"/>
          <w:szCs w:val="24"/>
          <w:lang w:eastAsia="bg-BG"/>
        </w:rPr>
        <w:lastRenderedPageBreak/>
        <w:t>тази цена се събират от ФСЕЕС и в последствие се разпределят към Обществения доставчик – НЕК ЕАД, респ. към „ТЕЦ Марица изток 2“ЕАД.</w:t>
      </w:r>
    </w:p>
    <w:p w14:paraId="2D5DFD39" w14:textId="052F9D4B" w:rsidR="00A96028" w:rsidRDefault="00A96028"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Вследствие на разлика между </w:t>
      </w:r>
      <w:r w:rsidRPr="00393BED">
        <w:rPr>
          <w:rFonts w:ascii="Times New Roman" w:eastAsia="Times New Roman" w:hAnsi="Times New Roman" w:cs="Times New Roman"/>
          <w:sz w:val="24"/>
          <w:szCs w:val="24"/>
          <w:lang w:eastAsia="bg-BG"/>
        </w:rPr>
        <w:t>Решение № Ц-29/01.07.2020 г. на КЕВР</w:t>
      </w:r>
      <w:r>
        <w:rPr>
          <w:rFonts w:ascii="Times New Roman" w:eastAsia="Times New Roman" w:hAnsi="Times New Roman" w:cs="Times New Roman"/>
          <w:sz w:val="24"/>
          <w:szCs w:val="24"/>
          <w:lang w:eastAsia="bg-BG"/>
        </w:rPr>
        <w:t xml:space="preserve">, </w:t>
      </w:r>
      <w:r w:rsidR="00DF73D7">
        <w:rPr>
          <w:rFonts w:ascii="Times New Roman" w:eastAsia="Times New Roman" w:hAnsi="Times New Roman" w:cs="Times New Roman"/>
          <w:sz w:val="24"/>
          <w:szCs w:val="24"/>
          <w:lang w:eastAsia="bg-BG"/>
        </w:rPr>
        <w:t xml:space="preserve">определящо компенсацията за </w:t>
      </w:r>
      <w:r w:rsidR="00DF73D7" w:rsidRPr="00393BED">
        <w:rPr>
          <w:rFonts w:ascii="Times New Roman" w:eastAsia="Times New Roman" w:hAnsi="Times New Roman" w:cs="Times New Roman"/>
          <w:sz w:val="24"/>
          <w:szCs w:val="24"/>
          <w:lang w:eastAsia="bg-BG"/>
        </w:rPr>
        <w:t>„ТЕЦ Марица изток 2“ЕАД</w:t>
      </w:r>
      <w:r w:rsidR="00DF73D7">
        <w:rPr>
          <w:rFonts w:ascii="Times New Roman" w:eastAsia="Times New Roman" w:hAnsi="Times New Roman" w:cs="Times New Roman"/>
          <w:sz w:val="24"/>
          <w:szCs w:val="24"/>
          <w:lang w:eastAsia="bg-BG"/>
        </w:rPr>
        <w:t xml:space="preserve"> в размер на 95 609 </w:t>
      </w:r>
      <w:proofErr w:type="spellStart"/>
      <w:r w:rsidR="00DF73D7">
        <w:rPr>
          <w:rFonts w:ascii="Times New Roman" w:eastAsia="Times New Roman" w:hAnsi="Times New Roman" w:cs="Times New Roman"/>
          <w:sz w:val="24"/>
          <w:szCs w:val="24"/>
          <w:lang w:eastAsia="bg-BG"/>
        </w:rPr>
        <w:t>хил.лв</w:t>
      </w:r>
      <w:proofErr w:type="spellEnd"/>
      <w:r w:rsidR="00DF73D7">
        <w:rPr>
          <w:rFonts w:ascii="Times New Roman" w:eastAsia="Times New Roman" w:hAnsi="Times New Roman" w:cs="Times New Roman"/>
          <w:sz w:val="24"/>
          <w:szCs w:val="24"/>
          <w:lang w:eastAsia="bg-BG"/>
        </w:rPr>
        <w:t>. и изчисленията на „ФСЕЕС“, формирани на база цената, определена от КЕВР</w:t>
      </w:r>
      <w:r w:rsidR="005623EA">
        <w:rPr>
          <w:rFonts w:ascii="Times New Roman" w:eastAsia="Times New Roman" w:hAnsi="Times New Roman" w:cs="Times New Roman"/>
          <w:sz w:val="24"/>
          <w:szCs w:val="24"/>
          <w:lang w:eastAsia="bg-BG"/>
        </w:rPr>
        <w:t>,</w:t>
      </w:r>
      <w:r w:rsidR="00DF73D7">
        <w:rPr>
          <w:rFonts w:ascii="Times New Roman" w:eastAsia="Times New Roman" w:hAnsi="Times New Roman" w:cs="Times New Roman"/>
          <w:sz w:val="24"/>
          <w:szCs w:val="24"/>
          <w:lang w:eastAsia="bg-BG"/>
        </w:rPr>
        <w:t xml:space="preserve"> „ФСЕЕС“ превежда по-малки суми на „НЕК“ ЕАД, които от своя страна съответно редуцират и плащането към „ТЕЦ Марица изток 2“ ЕАД.</w:t>
      </w:r>
    </w:p>
    <w:p w14:paraId="7A5C51EA" w14:textId="77777777" w:rsidR="00610788" w:rsidRDefault="00610788"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p>
    <w:p w14:paraId="013D67E9" w14:textId="0C051603" w:rsidR="00DF73D7" w:rsidRDefault="00DF73D7"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 тази връзка регулярно в рамките на текущия регулаторен период „НЕК“ ЕАД изпраща на „ТЕЦ Марица изток 2“ ЕАД писма</w:t>
      </w:r>
      <w:r w:rsidR="00345B55">
        <w:rPr>
          <w:rFonts w:ascii="Times New Roman" w:eastAsia="Times New Roman" w:hAnsi="Times New Roman" w:cs="Times New Roman"/>
          <w:sz w:val="24"/>
          <w:szCs w:val="24"/>
          <w:lang w:eastAsia="bg-BG"/>
        </w:rPr>
        <w:t>, приложени в документацията</w:t>
      </w:r>
      <w:r>
        <w:rPr>
          <w:rFonts w:ascii="Times New Roman" w:eastAsia="Times New Roman" w:hAnsi="Times New Roman" w:cs="Times New Roman"/>
          <w:sz w:val="24"/>
          <w:szCs w:val="24"/>
          <w:lang w:eastAsia="bg-BG"/>
        </w:rPr>
        <w:t xml:space="preserve"> с което ни уведомяват за </w:t>
      </w:r>
      <w:r w:rsidR="00557928">
        <w:rPr>
          <w:rFonts w:ascii="Times New Roman" w:eastAsia="Times New Roman" w:hAnsi="Times New Roman" w:cs="Times New Roman"/>
          <w:sz w:val="24"/>
          <w:szCs w:val="24"/>
          <w:lang w:eastAsia="bg-BG"/>
        </w:rPr>
        <w:t xml:space="preserve">по-малкия размер платени суми и в съответствие с чл.8 </w:t>
      </w:r>
      <w:r w:rsidR="00557928">
        <w:rPr>
          <w:rFonts w:ascii="Times New Roman" w:eastAsia="Times New Roman" w:hAnsi="Times New Roman" w:cs="Times New Roman"/>
          <w:sz w:val="24"/>
          <w:szCs w:val="24"/>
          <w:lang w:val="en-US" w:eastAsia="bg-BG"/>
        </w:rPr>
        <w:t xml:space="preserve">(4) </w:t>
      </w:r>
      <w:r w:rsidR="00557928">
        <w:rPr>
          <w:rFonts w:ascii="Times New Roman" w:eastAsia="Times New Roman" w:hAnsi="Times New Roman" w:cs="Times New Roman"/>
          <w:sz w:val="24"/>
          <w:szCs w:val="24"/>
          <w:lang w:eastAsia="bg-BG"/>
        </w:rPr>
        <w:t xml:space="preserve">от Споразумение </w:t>
      </w:r>
      <w:r w:rsidR="00D954EC">
        <w:rPr>
          <w:rFonts w:ascii="Times New Roman" w:eastAsia="Times New Roman" w:hAnsi="Times New Roman" w:cs="Times New Roman"/>
          <w:sz w:val="24"/>
          <w:szCs w:val="24"/>
          <w:lang w:eastAsia="bg-BG"/>
        </w:rPr>
        <w:t>№ 20ИД-Х19А048/17020/23.07.2020 г.</w:t>
      </w:r>
      <w:r w:rsidR="00557928">
        <w:rPr>
          <w:rFonts w:ascii="Times New Roman" w:eastAsia="Times New Roman" w:hAnsi="Times New Roman" w:cs="Times New Roman"/>
          <w:sz w:val="24"/>
          <w:szCs w:val="24"/>
          <w:lang w:eastAsia="bg-BG"/>
        </w:rPr>
        <w:t xml:space="preserve"> </w:t>
      </w:r>
      <w:r w:rsidR="00311CE8">
        <w:rPr>
          <w:rFonts w:ascii="Times New Roman" w:eastAsia="Times New Roman" w:hAnsi="Times New Roman" w:cs="Times New Roman"/>
          <w:sz w:val="24"/>
          <w:szCs w:val="24"/>
          <w:lang w:eastAsia="bg-BG"/>
        </w:rPr>
        <w:t>издаваме кредитни известия към „НЕК“ ЕАД, като към настоящия момент сме издали кредитни известия</w:t>
      </w:r>
      <w:r w:rsidR="00345B55">
        <w:rPr>
          <w:rFonts w:ascii="Times New Roman" w:eastAsia="Times New Roman" w:hAnsi="Times New Roman" w:cs="Times New Roman"/>
          <w:sz w:val="24"/>
          <w:szCs w:val="24"/>
          <w:lang w:eastAsia="bg-BG"/>
        </w:rPr>
        <w:t>, приложени в документацията</w:t>
      </w:r>
      <w:r w:rsidR="00311CE8">
        <w:rPr>
          <w:rFonts w:ascii="Times New Roman" w:eastAsia="Times New Roman" w:hAnsi="Times New Roman" w:cs="Times New Roman"/>
          <w:sz w:val="24"/>
          <w:szCs w:val="24"/>
          <w:lang w:eastAsia="bg-BG"/>
        </w:rPr>
        <w:t xml:space="preserve"> на стойност 4 750,87 лева, а до края на регулаторния период</w:t>
      </w:r>
      <w:r w:rsidR="005623EA">
        <w:rPr>
          <w:rFonts w:ascii="Times New Roman" w:eastAsia="Times New Roman" w:hAnsi="Times New Roman" w:cs="Times New Roman"/>
          <w:sz w:val="24"/>
          <w:szCs w:val="24"/>
          <w:lang w:eastAsia="bg-BG"/>
        </w:rPr>
        <w:t xml:space="preserve">, при изпълнение на цялото количество от 2 600 000 </w:t>
      </w:r>
      <w:proofErr w:type="spellStart"/>
      <w:r w:rsidR="005623EA">
        <w:rPr>
          <w:rFonts w:ascii="Times New Roman" w:eastAsia="Times New Roman" w:hAnsi="Times New Roman" w:cs="Times New Roman"/>
          <w:sz w:val="24"/>
          <w:szCs w:val="24"/>
          <w:lang w:eastAsia="bg-BG"/>
        </w:rPr>
        <w:t>МВтч</w:t>
      </w:r>
      <w:proofErr w:type="spellEnd"/>
      <w:r w:rsidR="005623EA">
        <w:rPr>
          <w:rFonts w:ascii="Times New Roman" w:eastAsia="Times New Roman" w:hAnsi="Times New Roman" w:cs="Times New Roman"/>
          <w:sz w:val="24"/>
          <w:szCs w:val="24"/>
          <w:lang w:eastAsia="bg-BG"/>
        </w:rPr>
        <w:t>,</w:t>
      </w:r>
      <w:r w:rsidR="00311CE8">
        <w:rPr>
          <w:rFonts w:ascii="Times New Roman" w:eastAsia="Times New Roman" w:hAnsi="Times New Roman" w:cs="Times New Roman"/>
          <w:sz w:val="24"/>
          <w:szCs w:val="24"/>
          <w:lang w:eastAsia="bg-BG"/>
        </w:rPr>
        <w:t xml:space="preserve"> сумата ще достигне 7 000</w:t>
      </w:r>
      <w:r w:rsidR="005623EA">
        <w:rPr>
          <w:rFonts w:ascii="Times New Roman" w:eastAsia="Times New Roman" w:hAnsi="Times New Roman" w:cs="Times New Roman"/>
          <w:sz w:val="24"/>
          <w:szCs w:val="24"/>
          <w:lang w:eastAsia="bg-BG"/>
        </w:rPr>
        <w:t>,00</w:t>
      </w:r>
      <w:r w:rsidR="00311CE8">
        <w:rPr>
          <w:rFonts w:ascii="Times New Roman" w:eastAsia="Times New Roman" w:hAnsi="Times New Roman" w:cs="Times New Roman"/>
          <w:sz w:val="24"/>
          <w:szCs w:val="24"/>
          <w:lang w:eastAsia="bg-BG"/>
        </w:rPr>
        <w:t xml:space="preserve"> лв.</w:t>
      </w:r>
    </w:p>
    <w:p w14:paraId="3C2392D0" w14:textId="77777777" w:rsidR="003360F1" w:rsidRPr="003F5611" w:rsidRDefault="003360F1" w:rsidP="00393BED">
      <w:pPr>
        <w:shd w:val="clear" w:color="auto" w:fill="FFFFFF" w:themeFill="background1"/>
        <w:spacing w:after="0" w:line="240" w:lineRule="auto"/>
        <w:jc w:val="both"/>
        <w:rPr>
          <w:rFonts w:ascii="Times New Roman" w:eastAsia="Times New Roman" w:hAnsi="Times New Roman" w:cs="Times New Roman"/>
          <w:sz w:val="24"/>
          <w:szCs w:val="24"/>
          <w:lang w:eastAsia="bg-BG"/>
        </w:rPr>
      </w:pPr>
    </w:p>
    <w:tbl>
      <w:tblPr>
        <w:tblStyle w:val="TableGrid"/>
        <w:tblW w:w="0" w:type="auto"/>
        <w:tblLook w:val="04A0" w:firstRow="1" w:lastRow="0" w:firstColumn="1" w:lastColumn="0" w:noHBand="0" w:noVBand="1"/>
      </w:tblPr>
      <w:tblGrid>
        <w:gridCol w:w="715"/>
        <w:gridCol w:w="3815"/>
        <w:gridCol w:w="3115"/>
        <w:gridCol w:w="1417"/>
      </w:tblGrid>
      <w:tr w:rsidR="003360F1" w:rsidRPr="0084275F" w14:paraId="737CA43A" w14:textId="77777777" w:rsidTr="003F5611">
        <w:tc>
          <w:tcPr>
            <w:tcW w:w="715" w:type="dxa"/>
          </w:tcPr>
          <w:p w14:paraId="63D6EB23" w14:textId="2869B4E4" w:rsidR="003360F1" w:rsidRPr="0084275F" w:rsidRDefault="003360F1" w:rsidP="003F5611">
            <w:pPr>
              <w:jc w:val="center"/>
              <w:rPr>
                <w:rFonts w:ascii="Times New Roman" w:eastAsia="Times New Roman" w:hAnsi="Times New Roman" w:cs="Times New Roman"/>
                <w:b/>
                <w:lang w:eastAsia="bg-BG"/>
              </w:rPr>
            </w:pPr>
          </w:p>
        </w:tc>
        <w:tc>
          <w:tcPr>
            <w:tcW w:w="3815" w:type="dxa"/>
          </w:tcPr>
          <w:p w14:paraId="47077E86" w14:textId="65E1B467" w:rsidR="003360F1" w:rsidRPr="0084275F" w:rsidRDefault="003360F1" w:rsidP="003F5611">
            <w:pPr>
              <w:jc w:val="center"/>
              <w:rPr>
                <w:rFonts w:ascii="Times New Roman" w:eastAsia="Times New Roman" w:hAnsi="Times New Roman" w:cs="Times New Roman"/>
                <w:b/>
                <w:lang w:eastAsia="bg-BG"/>
              </w:rPr>
            </w:pPr>
            <w:r w:rsidRPr="0084275F">
              <w:rPr>
                <w:rFonts w:ascii="Times New Roman" w:eastAsia="Times New Roman" w:hAnsi="Times New Roman" w:cs="Times New Roman"/>
                <w:b/>
                <w:lang w:eastAsia="bg-BG"/>
              </w:rPr>
              <w:t>Издадени кредитни известия</w:t>
            </w:r>
          </w:p>
        </w:tc>
        <w:tc>
          <w:tcPr>
            <w:tcW w:w="3115" w:type="dxa"/>
          </w:tcPr>
          <w:p w14:paraId="058DA83C" w14:textId="1ED2B6A0" w:rsidR="003360F1" w:rsidRPr="0084275F" w:rsidRDefault="003360F1" w:rsidP="003F5611">
            <w:pPr>
              <w:jc w:val="center"/>
              <w:rPr>
                <w:rFonts w:ascii="Times New Roman" w:eastAsia="Times New Roman" w:hAnsi="Times New Roman" w:cs="Times New Roman"/>
                <w:b/>
                <w:lang w:eastAsia="bg-BG"/>
              </w:rPr>
            </w:pPr>
            <w:r w:rsidRPr="0084275F">
              <w:rPr>
                <w:rFonts w:ascii="Times New Roman" w:eastAsia="Times New Roman" w:hAnsi="Times New Roman" w:cs="Times New Roman"/>
                <w:b/>
                <w:lang w:eastAsia="bg-BG"/>
              </w:rPr>
              <w:t>Период за който се отнасят</w:t>
            </w:r>
          </w:p>
        </w:tc>
        <w:tc>
          <w:tcPr>
            <w:tcW w:w="1417" w:type="dxa"/>
          </w:tcPr>
          <w:p w14:paraId="267BB933" w14:textId="453107CD" w:rsidR="003360F1" w:rsidRPr="0084275F" w:rsidRDefault="003360F1" w:rsidP="003F5611">
            <w:pPr>
              <w:jc w:val="center"/>
              <w:rPr>
                <w:rFonts w:ascii="Times New Roman" w:eastAsia="Times New Roman" w:hAnsi="Times New Roman" w:cs="Times New Roman"/>
                <w:b/>
                <w:lang w:eastAsia="bg-BG"/>
              </w:rPr>
            </w:pPr>
            <w:r w:rsidRPr="0084275F">
              <w:rPr>
                <w:rFonts w:ascii="Times New Roman" w:eastAsia="Times New Roman" w:hAnsi="Times New Roman" w:cs="Times New Roman"/>
                <w:b/>
                <w:lang w:eastAsia="bg-BG"/>
              </w:rPr>
              <w:t>Сума без ДДС</w:t>
            </w:r>
            <w:r w:rsidR="00B059D5" w:rsidRPr="0084275F">
              <w:rPr>
                <w:rFonts w:ascii="Times New Roman" w:eastAsia="Times New Roman" w:hAnsi="Times New Roman" w:cs="Times New Roman"/>
                <w:b/>
                <w:lang w:eastAsia="bg-BG"/>
              </w:rPr>
              <w:t xml:space="preserve"> лева</w:t>
            </w:r>
          </w:p>
        </w:tc>
      </w:tr>
      <w:tr w:rsidR="003360F1" w:rsidRPr="0084275F" w14:paraId="02BA3FEE" w14:textId="77777777" w:rsidTr="003F5611">
        <w:tc>
          <w:tcPr>
            <w:tcW w:w="715" w:type="dxa"/>
          </w:tcPr>
          <w:p w14:paraId="0FB548F3" w14:textId="0547A3F6" w:rsidR="003360F1" w:rsidRPr="0084275F" w:rsidRDefault="003360F1"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1</w:t>
            </w:r>
          </w:p>
        </w:tc>
        <w:tc>
          <w:tcPr>
            <w:tcW w:w="3815" w:type="dxa"/>
          </w:tcPr>
          <w:p w14:paraId="38BC39C4" w14:textId="7A4D475B" w:rsidR="003360F1" w:rsidRPr="0084275F" w:rsidRDefault="003360F1"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№1000039607/08.10.2020 г.</w:t>
            </w:r>
          </w:p>
        </w:tc>
        <w:tc>
          <w:tcPr>
            <w:tcW w:w="3115" w:type="dxa"/>
          </w:tcPr>
          <w:p w14:paraId="2800E37B" w14:textId="01B75547" w:rsidR="003360F1" w:rsidRPr="0084275F" w:rsidRDefault="003360F1"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01.07.-31.07.2020 г.</w:t>
            </w:r>
          </w:p>
        </w:tc>
        <w:tc>
          <w:tcPr>
            <w:tcW w:w="1417" w:type="dxa"/>
          </w:tcPr>
          <w:p w14:paraId="45239FE7" w14:textId="714F2D2D" w:rsidR="003360F1" w:rsidRPr="0084275F" w:rsidRDefault="003360F1"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600,92</w:t>
            </w:r>
          </w:p>
        </w:tc>
      </w:tr>
      <w:tr w:rsidR="003360F1" w:rsidRPr="0084275F" w14:paraId="1AC7D796" w14:textId="77777777" w:rsidTr="003F5611">
        <w:tc>
          <w:tcPr>
            <w:tcW w:w="715" w:type="dxa"/>
          </w:tcPr>
          <w:p w14:paraId="3E334D3A" w14:textId="4B41761D" w:rsidR="003360F1" w:rsidRPr="0084275F" w:rsidRDefault="003360F1"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2</w:t>
            </w:r>
          </w:p>
        </w:tc>
        <w:tc>
          <w:tcPr>
            <w:tcW w:w="3815" w:type="dxa"/>
          </w:tcPr>
          <w:p w14:paraId="512673A7" w14:textId="70DFD4D7" w:rsidR="003360F1" w:rsidRPr="0084275F" w:rsidRDefault="003360F1"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№1000039606/08.10.2020 г.</w:t>
            </w:r>
          </w:p>
        </w:tc>
        <w:tc>
          <w:tcPr>
            <w:tcW w:w="3115" w:type="dxa"/>
          </w:tcPr>
          <w:p w14:paraId="4B2FA662" w14:textId="0441C33C" w:rsidR="003360F1" w:rsidRPr="0084275F" w:rsidRDefault="003360F1"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01.0</w:t>
            </w:r>
            <w:r w:rsidR="00FC73A1" w:rsidRPr="0084275F">
              <w:rPr>
                <w:rFonts w:ascii="Times New Roman" w:eastAsia="Times New Roman" w:hAnsi="Times New Roman" w:cs="Times New Roman"/>
                <w:lang w:eastAsia="bg-BG"/>
              </w:rPr>
              <w:t>8</w:t>
            </w:r>
            <w:r w:rsidRPr="0084275F">
              <w:rPr>
                <w:rFonts w:ascii="Times New Roman" w:eastAsia="Times New Roman" w:hAnsi="Times New Roman" w:cs="Times New Roman"/>
                <w:lang w:eastAsia="bg-BG"/>
              </w:rPr>
              <w:t>.-31.0</w:t>
            </w:r>
            <w:r w:rsidR="00FC73A1" w:rsidRPr="0084275F">
              <w:rPr>
                <w:rFonts w:ascii="Times New Roman" w:eastAsia="Times New Roman" w:hAnsi="Times New Roman" w:cs="Times New Roman"/>
                <w:lang w:eastAsia="bg-BG"/>
              </w:rPr>
              <w:t>8</w:t>
            </w:r>
            <w:r w:rsidRPr="0084275F">
              <w:rPr>
                <w:rFonts w:ascii="Times New Roman" w:eastAsia="Times New Roman" w:hAnsi="Times New Roman" w:cs="Times New Roman"/>
                <w:lang w:eastAsia="bg-BG"/>
              </w:rPr>
              <w:t>.2020 г.</w:t>
            </w:r>
          </w:p>
        </w:tc>
        <w:tc>
          <w:tcPr>
            <w:tcW w:w="1417" w:type="dxa"/>
          </w:tcPr>
          <w:p w14:paraId="7E0ED9D6" w14:textId="39020F49" w:rsidR="003360F1" w:rsidRPr="0084275F" w:rsidRDefault="003360F1"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600,92</w:t>
            </w:r>
          </w:p>
        </w:tc>
      </w:tr>
      <w:tr w:rsidR="00345B55" w:rsidRPr="0084275F" w14:paraId="506D69E4" w14:textId="77777777" w:rsidTr="003F5611">
        <w:tc>
          <w:tcPr>
            <w:tcW w:w="715" w:type="dxa"/>
          </w:tcPr>
          <w:p w14:paraId="7FA65E3E" w14:textId="17578B83"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3</w:t>
            </w:r>
          </w:p>
        </w:tc>
        <w:tc>
          <w:tcPr>
            <w:tcW w:w="3815" w:type="dxa"/>
          </w:tcPr>
          <w:p w14:paraId="2C7A7F0A" w14:textId="627FA87F"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№1000039701/04.11.2020 г.</w:t>
            </w:r>
          </w:p>
        </w:tc>
        <w:tc>
          <w:tcPr>
            <w:tcW w:w="3115" w:type="dxa"/>
          </w:tcPr>
          <w:p w14:paraId="726868B0" w14:textId="69EB825A"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01.09.-30.09.2020 г.</w:t>
            </w:r>
          </w:p>
        </w:tc>
        <w:tc>
          <w:tcPr>
            <w:tcW w:w="1417" w:type="dxa"/>
          </w:tcPr>
          <w:p w14:paraId="2A8521C6" w14:textId="1F11339F"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708,70</w:t>
            </w:r>
          </w:p>
        </w:tc>
      </w:tr>
      <w:tr w:rsidR="00345B55" w:rsidRPr="0084275F" w14:paraId="410DEC72" w14:textId="77777777" w:rsidTr="003F5611">
        <w:tc>
          <w:tcPr>
            <w:tcW w:w="715" w:type="dxa"/>
          </w:tcPr>
          <w:p w14:paraId="10843C2D" w14:textId="1224D70D"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4</w:t>
            </w:r>
          </w:p>
        </w:tc>
        <w:tc>
          <w:tcPr>
            <w:tcW w:w="3815" w:type="dxa"/>
          </w:tcPr>
          <w:p w14:paraId="3C0556DA" w14:textId="76BC2E20"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№1000039775/04.12.2020 г.</w:t>
            </w:r>
          </w:p>
        </w:tc>
        <w:tc>
          <w:tcPr>
            <w:tcW w:w="3115" w:type="dxa"/>
          </w:tcPr>
          <w:p w14:paraId="33E1AE21" w14:textId="0AF4A152"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01.10.-31.10.2020 г.</w:t>
            </w:r>
          </w:p>
        </w:tc>
        <w:tc>
          <w:tcPr>
            <w:tcW w:w="1417" w:type="dxa"/>
          </w:tcPr>
          <w:p w14:paraId="73E20605" w14:textId="71F614E7"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752,12</w:t>
            </w:r>
          </w:p>
        </w:tc>
      </w:tr>
      <w:tr w:rsidR="00345B55" w:rsidRPr="0084275F" w14:paraId="6E62ADD9" w14:textId="77777777" w:rsidTr="003360F1">
        <w:tc>
          <w:tcPr>
            <w:tcW w:w="715" w:type="dxa"/>
          </w:tcPr>
          <w:p w14:paraId="4AC2A7B5" w14:textId="0044A6D3"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5</w:t>
            </w:r>
          </w:p>
        </w:tc>
        <w:tc>
          <w:tcPr>
            <w:tcW w:w="3815" w:type="dxa"/>
          </w:tcPr>
          <w:p w14:paraId="28A8BA79" w14:textId="3BB12989"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№2000004375/31.12.2020 г.</w:t>
            </w:r>
          </w:p>
        </w:tc>
        <w:tc>
          <w:tcPr>
            <w:tcW w:w="3115" w:type="dxa"/>
          </w:tcPr>
          <w:p w14:paraId="6C068720" w14:textId="65DD8C78"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01.11.-30.11.2020 г.</w:t>
            </w:r>
          </w:p>
        </w:tc>
        <w:tc>
          <w:tcPr>
            <w:tcW w:w="1417" w:type="dxa"/>
          </w:tcPr>
          <w:p w14:paraId="517AC84A" w14:textId="088CE053"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655,85</w:t>
            </w:r>
          </w:p>
        </w:tc>
      </w:tr>
      <w:tr w:rsidR="00345B55" w:rsidRPr="0084275F" w14:paraId="2F530A20" w14:textId="77777777" w:rsidTr="003360F1">
        <w:tc>
          <w:tcPr>
            <w:tcW w:w="715" w:type="dxa"/>
          </w:tcPr>
          <w:p w14:paraId="17D80576" w14:textId="64C0ADC3"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6</w:t>
            </w:r>
          </w:p>
        </w:tc>
        <w:tc>
          <w:tcPr>
            <w:tcW w:w="3815" w:type="dxa"/>
          </w:tcPr>
          <w:p w14:paraId="55563E5B" w14:textId="72484E5B"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№2000004411/28.02.2021 г.</w:t>
            </w:r>
          </w:p>
        </w:tc>
        <w:tc>
          <w:tcPr>
            <w:tcW w:w="3115" w:type="dxa"/>
          </w:tcPr>
          <w:p w14:paraId="68A315A1" w14:textId="7F62D4F2"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01.12.-31.12.2020 г.</w:t>
            </w:r>
          </w:p>
        </w:tc>
        <w:tc>
          <w:tcPr>
            <w:tcW w:w="1417" w:type="dxa"/>
          </w:tcPr>
          <w:p w14:paraId="5381A2E5" w14:textId="1F86941D"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708,70</w:t>
            </w:r>
          </w:p>
        </w:tc>
      </w:tr>
      <w:tr w:rsidR="00345B55" w:rsidRPr="0084275F" w14:paraId="1B4759FF" w14:textId="77777777" w:rsidTr="003360F1">
        <w:tc>
          <w:tcPr>
            <w:tcW w:w="715" w:type="dxa"/>
          </w:tcPr>
          <w:p w14:paraId="40B21FC6" w14:textId="1B5439B8"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7</w:t>
            </w:r>
          </w:p>
        </w:tc>
        <w:tc>
          <w:tcPr>
            <w:tcW w:w="3815" w:type="dxa"/>
          </w:tcPr>
          <w:p w14:paraId="0C79CCAB" w14:textId="37C88BBE"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№10000</w:t>
            </w:r>
            <w:r w:rsidR="00B059D5" w:rsidRPr="0084275F">
              <w:rPr>
                <w:rFonts w:ascii="Times New Roman" w:eastAsia="Times New Roman" w:hAnsi="Times New Roman" w:cs="Times New Roman"/>
                <w:lang w:eastAsia="bg-BG"/>
              </w:rPr>
              <w:t>4007</w:t>
            </w:r>
            <w:r w:rsidRPr="0084275F">
              <w:rPr>
                <w:rFonts w:ascii="Times New Roman" w:eastAsia="Times New Roman" w:hAnsi="Times New Roman" w:cs="Times New Roman"/>
                <w:lang w:eastAsia="bg-BG"/>
              </w:rPr>
              <w:t>1/</w:t>
            </w:r>
            <w:r w:rsidR="00B059D5" w:rsidRPr="0084275F">
              <w:rPr>
                <w:rFonts w:ascii="Times New Roman" w:eastAsia="Times New Roman" w:hAnsi="Times New Roman" w:cs="Times New Roman"/>
                <w:lang w:eastAsia="bg-BG"/>
              </w:rPr>
              <w:t>15</w:t>
            </w:r>
            <w:r w:rsidRPr="0084275F">
              <w:rPr>
                <w:rFonts w:ascii="Times New Roman" w:eastAsia="Times New Roman" w:hAnsi="Times New Roman" w:cs="Times New Roman"/>
                <w:lang w:eastAsia="bg-BG"/>
              </w:rPr>
              <w:t>.</w:t>
            </w:r>
            <w:r w:rsidR="00B059D5" w:rsidRPr="0084275F">
              <w:rPr>
                <w:rFonts w:ascii="Times New Roman" w:eastAsia="Times New Roman" w:hAnsi="Times New Roman" w:cs="Times New Roman"/>
                <w:lang w:eastAsia="bg-BG"/>
              </w:rPr>
              <w:t>03</w:t>
            </w:r>
            <w:r w:rsidRPr="0084275F">
              <w:rPr>
                <w:rFonts w:ascii="Times New Roman" w:eastAsia="Times New Roman" w:hAnsi="Times New Roman" w:cs="Times New Roman"/>
                <w:lang w:eastAsia="bg-BG"/>
              </w:rPr>
              <w:t>.202</w:t>
            </w:r>
            <w:r w:rsidR="00B059D5" w:rsidRPr="0084275F">
              <w:rPr>
                <w:rFonts w:ascii="Times New Roman" w:eastAsia="Times New Roman" w:hAnsi="Times New Roman" w:cs="Times New Roman"/>
                <w:lang w:eastAsia="bg-BG"/>
              </w:rPr>
              <w:t>1</w:t>
            </w:r>
            <w:r w:rsidRPr="0084275F">
              <w:rPr>
                <w:rFonts w:ascii="Times New Roman" w:eastAsia="Times New Roman" w:hAnsi="Times New Roman" w:cs="Times New Roman"/>
                <w:lang w:eastAsia="bg-BG"/>
              </w:rPr>
              <w:t xml:space="preserve"> г.</w:t>
            </w:r>
          </w:p>
        </w:tc>
        <w:tc>
          <w:tcPr>
            <w:tcW w:w="3115" w:type="dxa"/>
          </w:tcPr>
          <w:p w14:paraId="37AD7884" w14:textId="0D9043B3"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01.</w:t>
            </w:r>
            <w:r w:rsidR="00B059D5" w:rsidRPr="0084275F">
              <w:rPr>
                <w:rFonts w:ascii="Times New Roman" w:eastAsia="Times New Roman" w:hAnsi="Times New Roman" w:cs="Times New Roman"/>
                <w:lang w:eastAsia="bg-BG"/>
              </w:rPr>
              <w:t>01</w:t>
            </w:r>
            <w:r w:rsidRPr="0084275F">
              <w:rPr>
                <w:rFonts w:ascii="Times New Roman" w:eastAsia="Times New Roman" w:hAnsi="Times New Roman" w:cs="Times New Roman"/>
                <w:lang w:eastAsia="bg-BG"/>
              </w:rPr>
              <w:t>.-3</w:t>
            </w:r>
            <w:r w:rsidR="00B059D5" w:rsidRPr="0084275F">
              <w:rPr>
                <w:rFonts w:ascii="Times New Roman" w:eastAsia="Times New Roman" w:hAnsi="Times New Roman" w:cs="Times New Roman"/>
                <w:lang w:eastAsia="bg-BG"/>
              </w:rPr>
              <w:t>1</w:t>
            </w:r>
            <w:r w:rsidRPr="0084275F">
              <w:rPr>
                <w:rFonts w:ascii="Times New Roman" w:eastAsia="Times New Roman" w:hAnsi="Times New Roman" w:cs="Times New Roman"/>
                <w:lang w:eastAsia="bg-BG"/>
              </w:rPr>
              <w:t>.</w:t>
            </w:r>
            <w:r w:rsidR="00B059D5" w:rsidRPr="0084275F">
              <w:rPr>
                <w:rFonts w:ascii="Times New Roman" w:eastAsia="Times New Roman" w:hAnsi="Times New Roman" w:cs="Times New Roman"/>
                <w:lang w:eastAsia="bg-BG"/>
              </w:rPr>
              <w:t>01</w:t>
            </w:r>
            <w:r w:rsidRPr="0084275F">
              <w:rPr>
                <w:rFonts w:ascii="Times New Roman" w:eastAsia="Times New Roman" w:hAnsi="Times New Roman" w:cs="Times New Roman"/>
                <w:lang w:eastAsia="bg-BG"/>
              </w:rPr>
              <w:t>.202</w:t>
            </w:r>
            <w:r w:rsidR="00B059D5" w:rsidRPr="0084275F">
              <w:rPr>
                <w:rFonts w:ascii="Times New Roman" w:eastAsia="Times New Roman" w:hAnsi="Times New Roman" w:cs="Times New Roman"/>
                <w:lang w:eastAsia="bg-BG"/>
              </w:rPr>
              <w:t>1</w:t>
            </w:r>
            <w:r w:rsidRPr="0084275F">
              <w:rPr>
                <w:rFonts w:ascii="Times New Roman" w:eastAsia="Times New Roman" w:hAnsi="Times New Roman" w:cs="Times New Roman"/>
                <w:lang w:eastAsia="bg-BG"/>
              </w:rPr>
              <w:t xml:space="preserve"> г.</w:t>
            </w:r>
          </w:p>
        </w:tc>
        <w:tc>
          <w:tcPr>
            <w:tcW w:w="1417" w:type="dxa"/>
          </w:tcPr>
          <w:p w14:paraId="14F522DE" w14:textId="08ECECB6" w:rsidR="00345B55" w:rsidRPr="0084275F" w:rsidRDefault="00345B55" w:rsidP="003F5611">
            <w:pPr>
              <w:jc w:val="center"/>
              <w:rPr>
                <w:rFonts w:ascii="Times New Roman" w:eastAsia="Times New Roman" w:hAnsi="Times New Roman" w:cs="Times New Roman"/>
                <w:lang w:eastAsia="bg-BG"/>
              </w:rPr>
            </w:pPr>
            <w:r w:rsidRPr="0084275F">
              <w:rPr>
                <w:rFonts w:ascii="Times New Roman" w:eastAsia="Times New Roman" w:hAnsi="Times New Roman" w:cs="Times New Roman"/>
                <w:lang w:eastAsia="bg-BG"/>
              </w:rPr>
              <w:t>7</w:t>
            </w:r>
            <w:r w:rsidR="00B059D5" w:rsidRPr="0084275F">
              <w:rPr>
                <w:rFonts w:ascii="Times New Roman" w:eastAsia="Times New Roman" w:hAnsi="Times New Roman" w:cs="Times New Roman"/>
                <w:lang w:eastAsia="bg-BG"/>
              </w:rPr>
              <w:t>23</w:t>
            </w:r>
            <w:r w:rsidRPr="0084275F">
              <w:rPr>
                <w:rFonts w:ascii="Times New Roman" w:eastAsia="Times New Roman" w:hAnsi="Times New Roman" w:cs="Times New Roman"/>
                <w:lang w:eastAsia="bg-BG"/>
              </w:rPr>
              <w:t>,</w:t>
            </w:r>
            <w:r w:rsidR="00B059D5" w:rsidRPr="0084275F">
              <w:rPr>
                <w:rFonts w:ascii="Times New Roman" w:eastAsia="Times New Roman" w:hAnsi="Times New Roman" w:cs="Times New Roman"/>
                <w:lang w:eastAsia="bg-BG"/>
              </w:rPr>
              <w:t>96</w:t>
            </w:r>
          </w:p>
        </w:tc>
      </w:tr>
      <w:tr w:rsidR="00B059D5" w:rsidRPr="0084275F" w14:paraId="3652695E" w14:textId="77777777" w:rsidTr="003360F1">
        <w:tc>
          <w:tcPr>
            <w:tcW w:w="715" w:type="dxa"/>
          </w:tcPr>
          <w:p w14:paraId="31E643DE" w14:textId="77777777" w:rsidR="00B059D5" w:rsidRPr="0084275F" w:rsidRDefault="00B059D5" w:rsidP="00345B55">
            <w:pPr>
              <w:jc w:val="both"/>
              <w:rPr>
                <w:rFonts w:ascii="Times New Roman" w:eastAsia="Times New Roman" w:hAnsi="Times New Roman" w:cs="Times New Roman"/>
                <w:lang w:eastAsia="bg-BG"/>
              </w:rPr>
            </w:pPr>
          </w:p>
        </w:tc>
        <w:tc>
          <w:tcPr>
            <w:tcW w:w="3815" w:type="dxa"/>
          </w:tcPr>
          <w:p w14:paraId="69C65BB6" w14:textId="77777777" w:rsidR="00B059D5" w:rsidRPr="0084275F" w:rsidRDefault="00B059D5" w:rsidP="00B059D5">
            <w:pPr>
              <w:jc w:val="both"/>
              <w:rPr>
                <w:rFonts w:ascii="Times New Roman" w:eastAsia="Times New Roman" w:hAnsi="Times New Roman" w:cs="Times New Roman"/>
                <w:lang w:eastAsia="bg-BG"/>
              </w:rPr>
            </w:pPr>
          </w:p>
        </w:tc>
        <w:tc>
          <w:tcPr>
            <w:tcW w:w="3115" w:type="dxa"/>
          </w:tcPr>
          <w:p w14:paraId="79B93A91" w14:textId="77777777" w:rsidR="00B059D5" w:rsidRPr="0084275F" w:rsidRDefault="00B059D5" w:rsidP="00B059D5">
            <w:pPr>
              <w:jc w:val="both"/>
              <w:rPr>
                <w:rFonts w:ascii="Times New Roman" w:eastAsia="Times New Roman" w:hAnsi="Times New Roman" w:cs="Times New Roman"/>
                <w:lang w:eastAsia="bg-BG"/>
              </w:rPr>
            </w:pPr>
          </w:p>
        </w:tc>
        <w:tc>
          <w:tcPr>
            <w:tcW w:w="1417" w:type="dxa"/>
          </w:tcPr>
          <w:p w14:paraId="5208CAA1" w14:textId="05052C87" w:rsidR="00B059D5" w:rsidRPr="0084275F" w:rsidRDefault="00B059D5" w:rsidP="00B059D5">
            <w:pPr>
              <w:jc w:val="both"/>
              <w:rPr>
                <w:rFonts w:ascii="Times New Roman" w:eastAsia="Times New Roman" w:hAnsi="Times New Roman" w:cs="Times New Roman"/>
                <w:b/>
                <w:lang w:eastAsia="bg-BG"/>
              </w:rPr>
            </w:pPr>
            <w:r w:rsidRPr="0084275F">
              <w:rPr>
                <w:rFonts w:ascii="Times New Roman" w:eastAsia="Times New Roman" w:hAnsi="Times New Roman" w:cs="Times New Roman"/>
                <w:b/>
                <w:lang w:eastAsia="bg-BG"/>
              </w:rPr>
              <w:t>4 750,87 лв.</w:t>
            </w:r>
          </w:p>
        </w:tc>
      </w:tr>
    </w:tbl>
    <w:p w14:paraId="6533FE12" w14:textId="77777777" w:rsidR="00393BED" w:rsidRPr="0084275F" w:rsidRDefault="00393BED" w:rsidP="001365A2">
      <w:pPr>
        <w:shd w:val="clear" w:color="auto" w:fill="FFFFFF" w:themeFill="background1"/>
        <w:spacing w:after="120" w:line="240" w:lineRule="auto"/>
        <w:jc w:val="both"/>
        <w:rPr>
          <w:rFonts w:ascii="Times New Roman" w:eastAsia="Times New Roman" w:hAnsi="Times New Roman" w:cs="Times New Roman"/>
          <w:lang w:eastAsia="bg-BG"/>
        </w:rPr>
      </w:pPr>
    </w:p>
    <w:p w14:paraId="16A6D561" w14:textId="77777777" w:rsidR="00393BED" w:rsidRPr="00393BED" w:rsidRDefault="00393BED"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r w:rsidRPr="00393BED">
        <w:rPr>
          <w:rFonts w:ascii="Times New Roman" w:eastAsia="Times New Roman" w:hAnsi="Times New Roman" w:cs="Times New Roman"/>
          <w:sz w:val="24"/>
          <w:szCs w:val="24"/>
          <w:lang w:eastAsia="bg-BG"/>
        </w:rPr>
        <w:t>Съгласно чл. 34, ал. 6 и чл. 35, ал. 5 от ЗЕ невъзстановяемите разходи и тези за задължения към обществото се разпределят по прозрачен начин между всички крайни клиенти, включително ползващите електрическа енергия от внос, присъединени към електроенергийната система, оператора на електропреносната мрежа и операторите на електроразпределителните мрежи. Цената за задължения към обществото се изчислява върху цялото потребление на електрическа енергия в страната и съгласно чл. 35а от ЗЕ се заплаща от всички крайни клиенти, включително оператора на електропреносната мрежа и операторите на електроразпределителните мрежи, като за клиентите на регулирания пазар е включена в цената за активна енергия на крайните снабдители, а за клиентите на свободния пазар като добавка към договорената цена на електрическата енергия.</w:t>
      </w:r>
    </w:p>
    <w:p w14:paraId="5E80E3A9" w14:textId="77777777" w:rsidR="00393BED" w:rsidRDefault="00393BED"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r w:rsidRPr="00393BED">
        <w:rPr>
          <w:rFonts w:ascii="Times New Roman" w:eastAsia="Times New Roman" w:hAnsi="Times New Roman" w:cs="Times New Roman"/>
          <w:sz w:val="24"/>
          <w:szCs w:val="24"/>
          <w:lang w:eastAsia="bg-BG"/>
        </w:rPr>
        <w:t xml:space="preserve">Изпълнението на утвърдените </w:t>
      </w:r>
      <w:proofErr w:type="spellStart"/>
      <w:r w:rsidRPr="00393BED">
        <w:rPr>
          <w:rFonts w:ascii="Times New Roman" w:eastAsia="Times New Roman" w:hAnsi="Times New Roman" w:cs="Times New Roman"/>
          <w:sz w:val="24"/>
          <w:szCs w:val="24"/>
          <w:lang w:eastAsia="bg-BG"/>
        </w:rPr>
        <w:t>помесечни</w:t>
      </w:r>
      <w:proofErr w:type="spellEnd"/>
      <w:r w:rsidRPr="00393BED">
        <w:rPr>
          <w:rFonts w:ascii="Times New Roman" w:eastAsia="Times New Roman" w:hAnsi="Times New Roman" w:cs="Times New Roman"/>
          <w:sz w:val="24"/>
          <w:szCs w:val="24"/>
          <w:lang w:eastAsia="bg-BG"/>
        </w:rPr>
        <w:t xml:space="preserve"> квоти от „ТЕЦ Марица изток 2“ЕАД за текущия регулаторен период е направено в периода 01.07.2020 – 30.06.2021 г., като заявените количества от Обществения доставчик в някои периоди надвишават прогнозните, но като цяло няма съществено разминаване на производството, спрямо утвърдената квота. Разпределението на предоставените количества е както следва:</w:t>
      </w:r>
    </w:p>
    <w:p w14:paraId="11AAA79C" w14:textId="77777777" w:rsidR="00393BED" w:rsidRPr="00393BED" w:rsidRDefault="00393BED"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p>
    <w:tbl>
      <w:tblPr>
        <w:tblW w:w="5000" w:type="pct"/>
        <w:tblCellMar>
          <w:left w:w="70" w:type="dxa"/>
          <w:right w:w="70" w:type="dxa"/>
        </w:tblCellMar>
        <w:tblLook w:val="04A0" w:firstRow="1" w:lastRow="0" w:firstColumn="1" w:lastColumn="0" w:noHBand="0" w:noVBand="1"/>
      </w:tblPr>
      <w:tblGrid>
        <w:gridCol w:w="1038"/>
        <w:gridCol w:w="1173"/>
        <w:gridCol w:w="1042"/>
        <w:gridCol w:w="1247"/>
        <w:gridCol w:w="1173"/>
        <w:gridCol w:w="1042"/>
        <w:gridCol w:w="1133"/>
        <w:gridCol w:w="1214"/>
      </w:tblGrid>
      <w:tr w:rsidR="00393BED" w:rsidRPr="00393BED" w14:paraId="052B175F" w14:textId="77777777" w:rsidTr="001365A2">
        <w:trPr>
          <w:trHeight w:val="690"/>
        </w:trPr>
        <w:tc>
          <w:tcPr>
            <w:tcW w:w="572" w:type="pct"/>
            <w:tcBorders>
              <w:top w:val="single" w:sz="4" w:space="0" w:color="auto"/>
              <w:left w:val="single" w:sz="4" w:space="0" w:color="auto"/>
              <w:bottom w:val="nil"/>
              <w:right w:val="single" w:sz="4" w:space="0" w:color="auto"/>
            </w:tcBorders>
            <w:shd w:val="clear" w:color="auto" w:fill="auto"/>
            <w:vAlign w:val="center"/>
            <w:hideMark/>
          </w:tcPr>
          <w:p w14:paraId="5AECBDA6"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lastRenderedPageBreak/>
              <w:t xml:space="preserve">мярка </w:t>
            </w:r>
            <w:proofErr w:type="spellStart"/>
            <w:r w:rsidRPr="00393BED">
              <w:rPr>
                <w:rFonts w:ascii="Times New Roman" w:eastAsia="Times New Roman" w:hAnsi="Times New Roman" w:cs="Times New Roman"/>
                <w:b/>
                <w:bCs/>
                <w:sz w:val="20"/>
                <w:szCs w:val="20"/>
                <w:lang w:eastAsia="bg-BG"/>
              </w:rPr>
              <w:t>МВтч</w:t>
            </w:r>
            <w:proofErr w:type="spellEnd"/>
          </w:p>
        </w:tc>
        <w:tc>
          <w:tcPr>
            <w:tcW w:w="647" w:type="pct"/>
            <w:tcBorders>
              <w:top w:val="single" w:sz="4" w:space="0" w:color="auto"/>
              <w:left w:val="nil"/>
              <w:bottom w:val="nil"/>
              <w:right w:val="single" w:sz="4" w:space="0" w:color="auto"/>
            </w:tcBorders>
            <w:shd w:val="clear" w:color="auto" w:fill="auto"/>
            <w:noWrap/>
            <w:vAlign w:val="center"/>
            <w:hideMark/>
          </w:tcPr>
          <w:p w14:paraId="47346910"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Юли</w:t>
            </w:r>
          </w:p>
        </w:tc>
        <w:tc>
          <w:tcPr>
            <w:tcW w:w="575" w:type="pct"/>
            <w:tcBorders>
              <w:top w:val="single" w:sz="4" w:space="0" w:color="auto"/>
              <w:left w:val="nil"/>
              <w:bottom w:val="nil"/>
              <w:right w:val="single" w:sz="4" w:space="0" w:color="auto"/>
            </w:tcBorders>
            <w:shd w:val="clear" w:color="auto" w:fill="auto"/>
            <w:noWrap/>
            <w:vAlign w:val="center"/>
            <w:hideMark/>
          </w:tcPr>
          <w:p w14:paraId="40AF69E6"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Август</w:t>
            </w:r>
          </w:p>
        </w:tc>
        <w:tc>
          <w:tcPr>
            <w:tcW w:w="688" w:type="pct"/>
            <w:tcBorders>
              <w:top w:val="single" w:sz="4" w:space="0" w:color="auto"/>
              <w:left w:val="nil"/>
              <w:bottom w:val="nil"/>
              <w:right w:val="single" w:sz="4" w:space="0" w:color="auto"/>
            </w:tcBorders>
            <w:shd w:val="clear" w:color="auto" w:fill="auto"/>
            <w:noWrap/>
            <w:vAlign w:val="center"/>
            <w:hideMark/>
          </w:tcPr>
          <w:p w14:paraId="247E634A"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Септември</w:t>
            </w:r>
          </w:p>
        </w:tc>
        <w:tc>
          <w:tcPr>
            <w:tcW w:w="647" w:type="pct"/>
            <w:tcBorders>
              <w:top w:val="single" w:sz="4" w:space="0" w:color="auto"/>
              <w:left w:val="nil"/>
              <w:bottom w:val="nil"/>
              <w:right w:val="single" w:sz="4" w:space="0" w:color="auto"/>
            </w:tcBorders>
            <w:shd w:val="clear" w:color="auto" w:fill="auto"/>
            <w:noWrap/>
            <w:vAlign w:val="center"/>
            <w:hideMark/>
          </w:tcPr>
          <w:p w14:paraId="1FB3D358"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Октомври</w:t>
            </w:r>
          </w:p>
        </w:tc>
        <w:tc>
          <w:tcPr>
            <w:tcW w:w="575" w:type="pct"/>
            <w:tcBorders>
              <w:top w:val="single" w:sz="4" w:space="0" w:color="auto"/>
              <w:left w:val="nil"/>
              <w:bottom w:val="nil"/>
              <w:right w:val="single" w:sz="4" w:space="0" w:color="auto"/>
            </w:tcBorders>
            <w:shd w:val="clear" w:color="auto" w:fill="auto"/>
            <w:noWrap/>
            <w:vAlign w:val="center"/>
            <w:hideMark/>
          </w:tcPr>
          <w:p w14:paraId="50BF990E"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Ноември</w:t>
            </w:r>
          </w:p>
        </w:tc>
        <w:tc>
          <w:tcPr>
            <w:tcW w:w="625" w:type="pct"/>
            <w:tcBorders>
              <w:top w:val="single" w:sz="4" w:space="0" w:color="auto"/>
              <w:left w:val="nil"/>
              <w:bottom w:val="nil"/>
              <w:right w:val="single" w:sz="4" w:space="0" w:color="auto"/>
            </w:tcBorders>
            <w:shd w:val="clear" w:color="auto" w:fill="auto"/>
            <w:noWrap/>
            <w:vAlign w:val="center"/>
            <w:hideMark/>
          </w:tcPr>
          <w:p w14:paraId="615F8FDE"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Декември</w:t>
            </w:r>
          </w:p>
        </w:tc>
        <w:tc>
          <w:tcPr>
            <w:tcW w:w="670" w:type="pct"/>
            <w:tcBorders>
              <w:top w:val="single" w:sz="4" w:space="0" w:color="auto"/>
              <w:left w:val="nil"/>
              <w:bottom w:val="nil"/>
              <w:right w:val="single" w:sz="4" w:space="0" w:color="auto"/>
            </w:tcBorders>
            <w:shd w:val="clear" w:color="auto" w:fill="auto"/>
            <w:vAlign w:val="center"/>
            <w:hideMark/>
          </w:tcPr>
          <w:p w14:paraId="2A1F1310"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 xml:space="preserve">Общо за </w:t>
            </w:r>
            <w:r w:rsidRPr="00393BED">
              <w:rPr>
                <w:rFonts w:ascii="Times New Roman" w:eastAsia="Times New Roman" w:hAnsi="Times New Roman" w:cs="Times New Roman"/>
                <w:b/>
                <w:bCs/>
                <w:sz w:val="20"/>
                <w:szCs w:val="20"/>
                <w:lang w:val="en-US" w:eastAsia="bg-BG"/>
              </w:rPr>
              <w:t xml:space="preserve">II </w:t>
            </w:r>
            <w:r w:rsidRPr="00393BED">
              <w:rPr>
                <w:rFonts w:ascii="Times New Roman" w:eastAsia="Times New Roman" w:hAnsi="Times New Roman" w:cs="Times New Roman"/>
                <w:b/>
                <w:bCs/>
                <w:sz w:val="20"/>
                <w:szCs w:val="20"/>
                <w:lang w:eastAsia="bg-BG"/>
              </w:rPr>
              <w:t>полугодие</w:t>
            </w:r>
            <w:r w:rsidRPr="00393BED">
              <w:rPr>
                <w:rFonts w:ascii="Times New Roman" w:eastAsia="Times New Roman" w:hAnsi="Times New Roman" w:cs="Times New Roman"/>
                <w:b/>
                <w:bCs/>
                <w:sz w:val="20"/>
                <w:szCs w:val="20"/>
                <w:lang w:eastAsia="bg-BG"/>
              </w:rPr>
              <w:br/>
              <w:t>2020 г.</w:t>
            </w:r>
          </w:p>
        </w:tc>
      </w:tr>
      <w:tr w:rsidR="00393BED" w:rsidRPr="00393BED" w14:paraId="15696B3D" w14:textId="77777777" w:rsidTr="001365A2">
        <w:trPr>
          <w:trHeight w:val="300"/>
        </w:trPr>
        <w:tc>
          <w:tcPr>
            <w:tcW w:w="5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C40B8" w14:textId="77777777" w:rsidR="00393BED" w:rsidRPr="00393BED" w:rsidRDefault="00393BED" w:rsidP="00393BED">
            <w:pPr>
              <w:shd w:val="clear" w:color="auto" w:fill="FFFFFF" w:themeFill="background1"/>
              <w:spacing w:after="0" w:line="240" w:lineRule="auto"/>
              <w:jc w:val="both"/>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квота</w:t>
            </w:r>
          </w:p>
        </w:tc>
        <w:tc>
          <w:tcPr>
            <w:tcW w:w="647" w:type="pct"/>
            <w:tcBorders>
              <w:top w:val="single" w:sz="4" w:space="0" w:color="auto"/>
              <w:left w:val="nil"/>
              <w:bottom w:val="single" w:sz="4" w:space="0" w:color="auto"/>
              <w:right w:val="single" w:sz="4" w:space="0" w:color="auto"/>
            </w:tcBorders>
            <w:shd w:val="clear" w:color="auto" w:fill="auto"/>
            <w:noWrap/>
            <w:vAlign w:val="bottom"/>
            <w:hideMark/>
          </w:tcPr>
          <w:p w14:paraId="79BBCF4C"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223 200</w:t>
            </w:r>
          </w:p>
        </w:tc>
        <w:tc>
          <w:tcPr>
            <w:tcW w:w="575" w:type="pct"/>
            <w:tcBorders>
              <w:top w:val="single" w:sz="4" w:space="0" w:color="auto"/>
              <w:left w:val="nil"/>
              <w:bottom w:val="single" w:sz="4" w:space="0" w:color="auto"/>
              <w:right w:val="single" w:sz="4" w:space="0" w:color="auto"/>
            </w:tcBorders>
            <w:shd w:val="clear" w:color="auto" w:fill="auto"/>
            <w:noWrap/>
            <w:vAlign w:val="bottom"/>
            <w:hideMark/>
          </w:tcPr>
          <w:p w14:paraId="350C8B80"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223 200</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14:paraId="3D506EC3"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216 000</w:t>
            </w:r>
          </w:p>
        </w:tc>
        <w:tc>
          <w:tcPr>
            <w:tcW w:w="647" w:type="pct"/>
            <w:tcBorders>
              <w:top w:val="single" w:sz="4" w:space="0" w:color="auto"/>
              <w:left w:val="nil"/>
              <w:bottom w:val="single" w:sz="4" w:space="0" w:color="auto"/>
              <w:right w:val="single" w:sz="4" w:space="0" w:color="auto"/>
            </w:tcBorders>
            <w:shd w:val="clear" w:color="auto" w:fill="auto"/>
            <w:noWrap/>
            <w:vAlign w:val="bottom"/>
            <w:hideMark/>
          </w:tcPr>
          <w:p w14:paraId="51B610B2"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260 750</w:t>
            </w:r>
          </w:p>
        </w:tc>
        <w:tc>
          <w:tcPr>
            <w:tcW w:w="575" w:type="pct"/>
            <w:tcBorders>
              <w:top w:val="single" w:sz="4" w:space="0" w:color="auto"/>
              <w:left w:val="nil"/>
              <w:bottom w:val="single" w:sz="4" w:space="0" w:color="auto"/>
              <w:right w:val="single" w:sz="4" w:space="0" w:color="auto"/>
            </w:tcBorders>
            <w:shd w:val="clear" w:color="auto" w:fill="auto"/>
            <w:noWrap/>
            <w:vAlign w:val="bottom"/>
            <w:hideMark/>
          </w:tcPr>
          <w:p w14:paraId="50AB5F0B"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252 000</w:t>
            </w:r>
          </w:p>
        </w:tc>
        <w:tc>
          <w:tcPr>
            <w:tcW w:w="625" w:type="pct"/>
            <w:tcBorders>
              <w:top w:val="single" w:sz="4" w:space="0" w:color="auto"/>
              <w:left w:val="nil"/>
              <w:bottom w:val="single" w:sz="4" w:space="0" w:color="auto"/>
              <w:right w:val="single" w:sz="4" w:space="0" w:color="auto"/>
            </w:tcBorders>
            <w:shd w:val="clear" w:color="auto" w:fill="auto"/>
            <w:noWrap/>
            <w:vAlign w:val="bottom"/>
            <w:hideMark/>
          </w:tcPr>
          <w:p w14:paraId="596A15CA"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260 400</w:t>
            </w:r>
          </w:p>
        </w:tc>
        <w:tc>
          <w:tcPr>
            <w:tcW w:w="670" w:type="pct"/>
            <w:tcBorders>
              <w:top w:val="single" w:sz="4" w:space="0" w:color="auto"/>
              <w:left w:val="nil"/>
              <w:bottom w:val="single" w:sz="4" w:space="0" w:color="auto"/>
              <w:right w:val="single" w:sz="4" w:space="0" w:color="auto"/>
            </w:tcBorders>
            <w:shd w:val="clear" w:color="auto" w:fill="auto"/>
            <w:noWrap/>
            <w:vAlign w:val="bottom"/>
            <w:hideMark/>
          </w:tcPr>
          <w:p w14:paraId="55D2DCB2"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1 435 550</w:t>
            </w:r>
          </w:p>
        </w:tc>
      </w:tr>
      <w:tr w:rsidR="00393BED" w:rsidRPr="00393BED" w14:paraId="2D9A5B8D" w14:textId="77777777" w:rsidTr="001365A2">
        <w:trPr>
          <w:trHeight w:val="300"/>
        </w:trPr>
        <w:tc>
          <w:tcPr>
            <w:tcW w:w="572" w:type="pct"/>
            <w:tcBorders>
              <w:top w:val="nil"/>
              <w:left w:val="single" w:sz="4" w:space="0" w:color="auto"/>
              <w:bottom w:val="single" w:sz="4" w:space="0" w:color="auto"/>
              <w:right w:val="single" w:sz="4" w:space="0" w:color="auto"/>
            </w:tcBorders>
            <w:shd w:val="clear" w:color="auto" w:fill="auto"/>
            <w:noWrap/>
            <w:vAlign w:val="bottom"/>
            <w:hideMark/>
          </w:tcPr>
          <w:p w14:paraId="0843BD15" w14:textId="77777777" w:rsidR="00393BED" w:rsidRPr="00393BED" w:rsidRDefault="00393BED" w:rsidP="00393BED">
            <w:pPr>
              <w:shd w:val="clear" w:color="auto" w:fill="FFFFFF" w:themeFill="background1"/>
              <w:spacing w:after="0" w:line="240" w:lineRule="auto"/>
              <w:jc w:val="both"/>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отчет</w:t>
            </w:r>
          </w:p>
        </w:tc>
        <w:tc>
          <w:tcPr>
            <w:tcW w:w="647" w:type="pct"/>
            <w:tcBorders>
              <w:top w:val="nil"/>
              <w:left w:val="nil"/>
              <w:bottom w:val="single" w:sz="4" w:space="0" w:color="auto"/>
              <w:right w:val="single" w:sz="4" w:space="0" w:color="auto"/>
            </w:tcBorders>
            <w:shd w:val="clear" w:color="auto" w:fill="auto"/>
            <w:noWrap/>
            <w:vAlign w:val="bottom"/>
            <w:hideMark/>
          </w:tcPr>
          <w:p w14:paraId="29B991C4"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223 200</w:t>
            </w:r>
          </w:p>
        </w:tc>
        <w:tc>
          <w:tcPr>
            <w:tcW w:w="575" w:type="pct"/>
            <w:tcBorders>
              <w:top w:val="nil"/>
              <w:left w:val="nil"/>
              <w:bottom w:val="single" w:sz="4" w:space="0" w:color="auto"/>
              <w:right w:val="single" w:sz="4" w:space="0" w:color="auto"/>
            </w:tcBorders>
            <w:shd w:val="clear" w:color="auto" w:fill="auto"/>
            <w:noWrap/>
            <w:vAlign w:val="bottom"/>
            <w:hideMark/>
          </w:tcPr>
          <w:p w14:paraId="4F19DC73"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223 200</w:t>
            </w:r>
          </w:p>
        </w:tc>
        <w:tc>
          <w:tcPr>
            <w:tcW w:w="688" w:type="pct"/>
            <w:tcBorders>
              <w:top w:val="nil"/>
              <w:left w:val="nil"/>
              <w:bottom w:val="single" w:sz="4" w:space="0" w:color="auto"/>
              <w:right w:val="single" w:sz="4" w:space="0" w:color="auto"/>
            </w:tcBorders>
            <w:shd w:val="clear" w:color="auto" w:fill="auto"/>
            <w:noWrap/>
            <w:vAlign w:val="bottom"/>
            <w:hideMark/>
          </w:tcPr>
          <w:p w14:paraId="2E2B1639"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263 230</w:t>
            </w:r>
          </w:p>
        </w:tc>
        <w:tc>
          <w:tcPr>
            <w:tcW w:w="647" w:type="pct"/>
            <w:tcBorders>
              <w:top w:val="nil"/>
              <w:left w:val="nil"/>
              <w:bottom w:val="single" w:sz="4" w:space="0" w:color="auto"/>
              <w:right w:val="single" w:sz="4" w:space="0" w:color="auto"/>
            </w:tcBorders>
            <w:shd w:val="clear" w:color="auto" w:fill="auto"/>
            <w:noWrap/>
            <w:vAlign w:val="bottom"/>
            <w:hideMark/>
          </w:tcPr>
          <w:p w14:paraId="46005881"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279 360</w:t>
            </w:r>
          </w:p>
        </w:tc>
        <w:tc>
          <w:tcPr>
            <w:tcW w:w="575" w:type="pct"/>
            <w:tcBorders>
              <w:top w:val="nil"/>
              <w:left w:val="nil"/>
              <w:bottom w:val="single" w:sz="4" w:space="0" w:color="auto"/>
              <w:right w:val="single" w:sz="4" w:space="0" w:color="auto"/>
            </w:tcBorders>
            <w:shd w:val="clear" w:color="auto" w:fill="auto"/>
            <w:noWrap/>
            <w:vAlign w:val="bottom"/>
            <w:hideMark/>
          </w:tcPr>
          <w:p w14:paraId="165037DD"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243 600</w:t>
            </w:r>
          </w:p>
        </w:tc>
        <w:tc>
          <w:tcPr>
            <w:tcW w:w="625" w:type="pct"/>
            <w:tcBorders>
              <w:top w:val="nil"/>
              <w:left w:val="nil"/>
              <w:bottom w:val="single" w:sz="4" w:space="0" w:color="auto"/>
              <w:right w:val="single" w:sz="4" w:space="0" w:color="auto"/>
            </w:tcBorders>
            <w:shd w:val="clear" w:color="auto" w:fill="auto"/>
            <w:noWrap/>
            <w:vAlign w:val="bottom"/>
            <w:hideMark/>
          </w:tcPr>
          <w:p w14:paraId="1E7BDB73"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263 125</w:t>
            </w:r>
          </w:p>
        </w:tc>
        <w:tc>
          <w:tcPr>
            <w:tcW w:w="670" w:type="pct"/>
            <w:tcBorders>
              <w:top w:val="nil"/>
              <w:left w:val="nil"/>
              <w:bottom w:val="single" w:sz="4" w:space="0" w:color="auto"/>
              <w:right w:val="single" w:sz="4" w:space="0" w:color="auto"/>
            </w:tcBorders>
            <w:shd w:val="clear" w:color="auto" w:fill="auto"/>
            <w:noWrap/>
            <w:vAlign w:val="bottom"/>
            <w:hideMark/>
          </w:tcPr>
          <w:p w14:paraId="109E8D2B"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1 495 715</w:t>
            </w:r>
          </w:p>
        </w:tc>
      </w:tr>
    </w:tbl>
    <w:p w14:paraId="15B6FB27" w14:textId="77777777" w:rsidR="00393BED" w:rsidRPr="00393BED" w:rsidRDefault="00393BED" w:rsidP="00393BED">
      <w:pPr>
        <w:shd w:val="clear" w:color="auto" w:fill="FFFFFF" w:themeFill="background1"/>
        <w:spacing w:after="0" w:line="240" w:lineRule="auto"/>
        <w:jc w:val="both"/>
        <w:rPr>
          <w:rFonts w:ascii="Times New Roman" w:eastAsia="Times New Roman" w:hAnsi="Times New Roman" w:cs="Times New Roman"/>
          <w:sz w:val="24"/>
          <w:szCs w:val="24"/>
          <w:lang w:eastAsia="bg-BG"/>
        </w:rPr>
      </w:pPr>
    </w:p>
    <w:tbl>
      <w:tblPr>
        <w:tblW w:w="5000" w:type="pct"/>
        <w:tblLayout w:type="fixed"/>
        <w:tblCellMar>
          <w:left w:w="70" w:type="dxa"/>
          <w:right w:w="70" w:type="dxa"/>
        </w:tblCellMar>
        <w:tblLook w:val="04A0" w:firstRow="1" w:lastRow="0" w:firstColumn="1" w:lastColumn="0" w:noHBand="0" w:noVBand="1"/>
      </w:tblPr>
      <w:tblGrid>
        <w:gridCol w:w="764"/>
        <w:gridCol w:w="948"/>
        <w:gridCol w:w="948"/>
        <w:gridCol w:w="950"/>
        <w:gridCol w:w="948"/>
        <w:gridCol w:w="948"/>
        <w:gridCol w:w="950"/>
        <w:gridCol w:w="1100"/>
        <w:gridCol w:w="1506"/>
      </w:tblGrid>
      <w:tr w:rsidR="00393BED" w:rsidRPr="00393BED" w14:paraId="324A679D" w14:textId="77777777" w:rsidTr="001365A2">
        <w:trPr>
          <w:trHeight w:val="407"/>
        </w:trPr>
        <w:tc>
          <w:tcPr>
            <w:tcW w:w="422" w:type="pct"/>
            <w:tcBorders>
              <w:top w:val="single" w:sz="4" w:space="0" w:color="auto"/>
              <w:left w:val="single" w:sz="4" w:space="0" w:color="auto"/>
              <w:bottom w:val="nil"/>
              <w:right w:val="single" w:sz="4" w:space="0" w:color="auto"/>
            </w:tcBorders>
            <w:shd w:val="clear" w:color="auto" w:fill="auto"/>
            <w:vAlign w:val="center"/>
            <w:hideMark/>
          </w:tcPr>
          <w:p w14:paraId="27CDD339"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 xml:space="preserve">мярка </w:t>
            </w:r>
            <w:proofErr w:type="spellStart"/>
            <w:r w:rsidRPr="00393BED">
              <w:rPr>
                <w:rFonts w:ascii="Times New Roman" w:eastAsia="Times New Roman" w:hAnsi="Times New Roman" w:cs="Times New Roman"/>
                <w:b/>
                <w:bCs/>
                <w:sz w:val="20"/>
                <w:szCs w:val="20"/>
                <w:lang w:eastAsia="bg-BG"/>
              </w:rPr>
              <w:t>МВтч</w:t>
            </w:r>
            <w:proofErr w:type="spellEnd"/>
          </w:p>
        </w:tc>
        <w:tc>
          <w:tcPr>
            <w:tcW w:w="523" w:type="pct"/>
            <w:tcBorders>
              <w:top w:val="single" w:sz="4" w:space="0" w:color="auto"/>
              <w:left w:val="nil"/>
              <w:bottom w:val="nil"/>
              <w:right w:val="single" w:sz="4" w:space="0" w:color="auto"/>
            </w:tcBorders>
            <w:shd w:val="clear" w:color="auto" w:fill="auto"/>
            <w:noWrap/>
            <w:vAlign w:val="center"/>
            <w:hideMark/>
          </w:tcPr>
          <w:p w14:paraId="1E2CF332"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Януари</w:t>
            </w:r>
          </w:p>
        </w:tc>
        <w:tc>
          <w:tcPr>
            <w:tcW w:w="523" w:type="pct"/>
            <w:tcBorders>
              <w:top w:val="single" w:sz="4" w:space="0" w:color="auto"/>
              <w:left w:val="nil"/>
              <w:bottom w:val="nil"/>
              <w:right w:val="single" w:sz="4" w:space="0" w:color="auto"/>
            </w:tcBorders>
            <w:shd w:val="clear" w:color="auto" w:fill="auto"/>
            <w:noWrap/>
            <w:vAlign w:val="center"/>
            <w:hideMark/>
          </w:tcPr>
          <w:p w14:paraId="3D7A9590"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proofErr w:type="spellStart"/>
            <w:r w:rsidRPr="00393BED">
              <w:rPr>
                <w:rFonts w:ascii="Times New Roman" w:eastAsia="Times New Roman" w:hAnsi="Times New Roman" w:cs="Times New Roman"/>
                <w:b/>
                <w:bCs/>
                <w:sz w:val="20"/>
                <w:szCs w:val="20"/>
                <w:lang w:eastAsia="bg-BG"/>
              </w:rPr>
              <w:t>Фев</w:t>
            </w:r>
            <w:proofErr w:type="spellEnd"/>
            <w:r w:rsidRPr="00393BED">
              <w:rPr>
                <w:rFonts w:ascii="Times New Roman" w:eastAsia="Times New Roman" w:hAnsi="Times New Roman" w:cs="Times New Roman"/>
                <w:b/>
                <w:bCs/>
                <w:sz w:val="20"/>
                <w:szCs w:val="20"/>
                <w:lang w:eastAsia="bg-BG"/>
              </w:rPr>
              <w:t>.</w:t>
            </w:r>
          </w:p>
        </w:tc>
        <w:tc>
          <w:tcPr>
            <w:tcW w:w="524" w:type="pct"/>
            <w:tcBorders>
              <w:top w:val="single" w:sz="4" w:space="0" w:color="auto"/>
              <w:left w:val="nil"/>
              <w:bottom w:val="nil"/>
              <w:right w:val="single" w:sz="4" w:space="0" w:color="auto"/>
            </w:tcBorders>
            <w:shd w:val="clear" w:color="auto" w:fill="auto"/>
            <w:noWrap/>
            <w:vAlign w:val="center"/>
            <w:hideMark/>
          </w:tcPr>
          <w:p w14:paraId="22C88B55"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Март</w:t>
            </w:r>
          </w:p>
        </w:tc>
        <w:tc>
          <w:tcPr>
            <w:tcW w:w="523" w:type="pct"/>
            <w:tcBorders>
              <w:top w:val="single" w:sz="4" w:space="0" w:color="auto"/>
              <w:left w:val="nil"/>
              <w:bottom w:val="nil"/>
              <w:right w:val="single" w:sz="4" w:space="0" w:color="auto"/>
            </w:tcBorders>
            <w:shd w:val="clear" w:color="auto" w:fill="auto"/>
            <w:noWrap/>
            <w:vAlign w:val="center"/>
            <w:hideMark/>
          </w:tcPr>
          <w:p w14:paraId="02960371"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Април</w:t>
            </w:r>
          </w:p>
        </w:tc>
        <w:tc>
          <w:tcPr>
            <w:tcW w:w="523" w:type="pct"/>
            <w:tcBorders>
              <w:top w:val="single" w:sz="4" w:space="0" w:color="auto"/>
              <w:left w:val="nil"/>
              <w:bottom w:val="nil"/>
              <w:right w:val="single" w:sz="4" w:space="0" w:color="auto"/>
            </w:tcBorders>
            <w:shd w:val="clear" w:color="auto" w:fill="auto"/>
            <w:noWrap/>
            <w:vAlign w:val="center"/>
            <w:hideMark/>
          </w:tcPr>
          <w:p w14:paraId="500EA512"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Май</w:t>
            </w:r>
          </w:p>
        </w:tc>
        <w:tc>
          <w:tcPr>
            <w:tcW w:w="524" w:type="pct"/>
            <w:tcBorders>
              <w:top w:val="single" w:sz="4" w:space="0" w:color="auto"/>
              <w:left w:val="nil"/>
              <w:bottom w:val="nil"/>
              <w:right w:val="single" w:sz="4" w:space="0" w:color="auto"/>
            </w:tcBorders>
            <w:shd w:val="clear" w:color="auto" w:fill="auto"/>
            <w:noWrap/>
            <w:vAlign w:val="center"/>
            <w:hideMark/>
          </w:tcPr>
          <w:p w14:paraId="5CDF8506"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Юни</w:t>
            </w:r>
          </w:p>
        </w:tc>
        <w:tc>
          <w:tcPr>
            <w:tcW w:w="607" w:type="pct"/>
            <w:tcBorders>
              <w:top w:val="single" w:sz="4" w:space="0" w:color="auto"/>
              <w:left w:val="nil"/>
              <w:bottom w:val="nil"/>
              <w:right w:val="single" w:sz="4" w:space="0" w:color="auto"/>
            </w:tcBorders>
            <w:shd w:val="clear" w:color="auto" w:fill="auto"/>
            <w:vAlign w:val="center"/>
            <w:hideMark/>
          </w:tcPr>
          <w:p w14:paraId="05FF0DBA"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 xml:space="preserve">Общо за </w:t>
            </w:r>
            <w:r w:rsidRPr="00393BED">
              <w:rPr>
                <w:rFonts w:ascii="Times New Roman" w:eastAsia="Times New Roman" w:hAnsi="Times New Roman" w:cs="Times New Roman"/>
                <w:b/>
                <w:bCs/>
                <w:sz w:val="20"/>
                <w:szCs w:val="20"/>
                <w:lang w:val="en-US" w:eastAsia="bg-BG"/>
              </w:rPr>
              <w:t xml:space="preserve">I </w:t>
            </w:r>
            <w:r w:rsidRPr="00393BED">
              <w:rPr>
                <w:rFonts w:ascii="Times New Roman" w:eastAsia="Times New Roman" w:hAnsi="Times New Roman" w:cs="Times New Roman"/>
                <w:b/>
                <w:bCs/>
                <w:sz w:val="20"/>
                <w:szCs w:val="20"/>
                <w:lang w:eastAsia="bg-BG"/>
              </w:rPr>
              <w:t>полугодие</w:t>
            </w:r>
            <w:r w:rsidRPr="00393BED">
              <w:rPr>
                <w:rFonts w:ascii="Times New Roman" w:eastAsia="Times New Roman" w:hAnsi="Times New Roman" w:cs="Times New Roman"/>
                <w:b/>
                <w:bCs/>
                <w:sz w:val="20"/>
                <w:szCs w:val="20"/>
                <w:lang w:eastAsia="bg-BG"/>
              </w:rPr>
              <w:br/>
              <w:t>2021 г.</w:t>
            </w:r>
          </w:p>
        </w:tc>
        <w:tc>
          <w:tcPr>
            <w:tcW w:w="831" w:type="pct"/>
            <w:tcBorders>
              <w:top w:val="single" w:sz="4" w:space="0" w:color="auto"/>
              <w:left w:val="nil"/>
              <w:bottom w:val="nil"/>
              <w:right w:val="single" w:sz="4" w:space="0" w:color="auto"/>
            </w:tcBorders>
            <w:shd w:val="clear" w:color="auto" w:fill="auto"/>
            <w:noWrap/>
            <w:vAlign w:val="center"/>
            <w:hideMark/>
          </w:tcPr>
          <w:p w14:paraId="24BE442E"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01.07.2020-30.06.2021</w:t>
            </w:r>
          </w:p>
        </w:tc>
      </w:tr>
      <w:tr w:rsidR="00393BED" w:rsidRPr="00393BED" w14:paraId="666707B1" w14:textId="77777777" w:rsidTr="001365A2">
        <w:trPr>
          <w:trHeight w:val="203"/>
        </w:trPr>
        <w:tc>
          <w:tcPr>
            <w:tcW w:w="4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5AFC6"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квота</w:t>
            </w:r>
          </w:p>
        </w:tc>
        <w:tc>
          <w:tcPr>
            <w:tcW w:w="523" w:type="pct"/>
            <w:tcBorders>
              <w:top w:val="single" w:sz="4" w:space="0" w:color="auto"/>
              <w:left w:val="nil"/>
              <w:bottom w:val="single" w:sz="4" w:space="0" w:color="auto"/>
              <w:right w:val="single" w:sz="4" w:space="0" w:color="auto"/>
            </w:tcBorders>
            <w:shd w:val="clear" w:color="auto" w:fill="auto"/>
            <w:noWrap/>
            <w:vAlign w:val="bottom"/>
            <w:hideMark/>
          </w:tcPr>
          <w:p w14:paraId="1CE5328C"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260 400</w:t>
            </w:r>
          </w:p>
        </w:tc>
        <w:tc>
          <w:tcPr>
            <w:tcW w:w="523" w:type="pct"/>
            <w:tcBorders>
              <w:top w:val="single" w:sz="4" w:space="0" w:color="auto"/>
              <w:left w:val="nil"/>
              <w:bottom w:val="single" w:sz="4" w:space="0" w:color="auto"/>
              <w:right w:val="single" w:sz="4" w:space="0" w:color="auto"/>
            </w:tcBorders>
            <w:shd w:val="clear" w:color="auto" w:fill="auto"/>
            <w:noWrap/>
            <w:vAlign w:val="bottom"/>
            <w:hideMark/>
          </w:tcPr>
          <w:p w14:paraId="1FD0E2D4"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235 200</w:t>
            </w:r>
          </w:p>
        </w:tc>
        <w:tc>
          <w:tcPr>
            <w:tcW w:w="524" w:type="pct"/>
            <w:tcBorders>
              <w:top w:val="single" w:sz="4" w:space="0" w:color="auto"/>
              <w:left w:val="nil"/>
              <w:bottom w:val="single" w:sz="4" w:space="0" w:color="auto"/>
              <w:right w:val="single" w:sz="4" w:space="0" w:color="auto"/>
            </w:tcBorders>
            <w:shd w:val="clear" w:color="auto" w:fill="auto"/>
            <w:noWrap/>
            <w:vAlign w:val="bottom"/>
            <w:hideMark/>
          </w:tcPr>
          <w:p w14:paraId="2B9A9ACF"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200 610</w:t>
            </w:r>
          </w:p>
        </w:tc>
        <w:tc>
          <w:tcPr>
            <w:tcW w:w="523" w:type="pct"/>
            <w:tcBorders>
              <w:top w:val="single" w:sz="4" w:space="0" w:color="auto"/>
              <w:left w:val="nil"/>
              <w:bottom w:val="single" w:sz="4" w:space="0" w:color="auto"/>
              <w:right w:val="single" w:sz="4" w:space="0" w:color="auto"/>
            </w:tcBorders>
            <w:shd w:val="clear" w:color="auto" w:fill="auto"/>
            <w:noWrap/>
            <w:vAlign w:val="bottom"/>
            <w:hideMark/>
          </w:tcPr>
          <w:p w14:paraId="6531CF17"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144 000</w:t>
            </w:r>
          </w:p>
        </w:tc>
        <w:tc>
          <w:tcPr>
            <w:tcW w:w="523" w:type="pct"/>
            <w:tcBorders>
              <w:top w:val="single" w:sz="4" w:space="0" w:color="auto"/>
              <w:left w:val="nil"/>
              <w:bottom w:val="single" w:sz="4" w:space="0" w:color="auto"/>
              <w:right w:val="single" w:sz="4" w:space="0" w:color="auto"/>
            </w:tcBorders>
            <w:shd w:val="clear" w:color="auto" w:fill="auto"/>
            <w:noWrap/>
            <w:vAlign w:val="bottom"/>
            <w:hideMark/>
          </w:tcPr>
          <w:p w14:paraId="42E281AB"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163 680</w:t>
            </w:r>
          </w:p>
        </w:tc>
        <w:tc>
          <w:tcPr>
            <w:tcW w:w="524" w:type="pct"/>
            <w:tcBorders>
              <w:top w:val="single" w:sz="4" w:space="0" w:color="auto"/>
              <w:left w:val="nil"/>
              <w:bottom w:val="single" w:sz="4" w:space="0" w:color="auto"/>
              <w:right w:val="single" w:sz="4" w:space="0" w:color="auto"/>
            </w:tcBorders>
            <w:shd w:val="clear" w:color="auto" w:fill="auto"/>
            <w:noWrap/>
            <w:vAlign w:val="bottom"/>
            <w:hideMark/>
          </w:tcPr>
          <w:p w14:paraId="06954E92"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160 560</w:t>
            </w:r>
          </w:p>
        </w:tc>
        <w:tc>
          <w:tcPr>
            <w:tcW w:w="607" w:type="pct"/>
            <w:tcBorders>
              <w:top w:val="single" w:sz="4" w:space="0" w:color="auto"/>
              <w:left w:val="nil"/>
              <w:bottom w:val="single" w:sz="4" w:space="0" w:color="auto"/>
              <w:right w:val="single" w:sz="4" w:space="0" w:color="auto"/>
            </w:tcBorders>
            <w:shd w:val="clear" w:color="auto" w:fill="auto"/>
            <w:noWrap/>
            <w:vAlign w:val="bottom"/>
            <w:hideMark/>
          </w:tcPr>
          <w:p w14:paraId="28F3FB86"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1 164 450</w:t>
            </w:r>
          </w:p>
        </w:tc>
        <w:tc>
          <w:tcPr>
            <w:tcW w:w="831" w:type="pct"/>
            <w:tcBorders>
              <w:top w:val="single" w:sz="4" w:space="0" w:color="auto"/>
              <w:left w:val="nil"/>
              <w:bottom w:val="single" w:sz="4" w:space="0" w:color="auto"/>
              <w:right w:val="single" w:sz="4" w:space="0" w:color="auto"/>
            </w:tcBorders>
            <w:shd w:val="clear" w:color="auto" w:fill="auto"/>
            <w:noWrap/>
            <w:vAlign w:val="bottom"/>
            <w:hideMark/>
          </w:tcPr>
          <w:p w14:paraId="33051E45"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2 600 000</w:t>
            </w:r>
          </w:p>
        </w:tc>
      </w:tr>
      <w:tr w:rsidR="00393BED" w:rsidRPr="00393BED" w14:paraId="1A4AF427" w14:textId="77777777" w:rsidTr="001365A2">
        <w:trPr>
          <w:trHeight w:val="203"/>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14:paraId="199F0E35"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sidRPr="00393BED">
              <w:rPr>
                <w:rFonts w:ascii="Times New Roman" w:eastAsia="Times New Roman" w:hAnsi="Times New Roman" w:cs="Times New Roman"/>
                <w:b/>
                <w:bCs/>
                <w:sz w:val="20"/>
                <w:szCs w:val="20"/>
                <w:lang w:eastAsia="bg-BG"/>
              </w:rPr>
              <w:t>отчет</w:t>
            </w:r>
          </w:p>
        </w:tc>
        <w:tc>
          <w:tcPr>
            <w:tcW w:w="523" w:type="pct"/>
            <w:tcBorders>
              <w:top w:val="nil"/>
              <w:left w:val="nil"/>
              <w:bottom w:val="single" w:sz="4" w:space="0" w:color="auto"/>
              <w:right w:val="single" w:sz="4" w:space="0" w:color="auto"/>
            </w:tcBorders>
            <w:shd w:val="clear" w:color="auto" w:fill="auto"/>
            <w:noWrap/>
            <w:vAlign w:val="bottom"/>
            <w:hideMark/>
          </w:tcPr>
          <w:p w14:paraId="05F0D93B"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268 900</w:t>
            </w:r>
          </w:p>
        </w:tc>
        <w:tc>
          <w:tcPr>
            <w:tcW w:w="523" w:type="pct"/>
            <w:tcBorders>
              <w:top w:val="nil"/>
              <w:left w:val="nil"/>
              <w:bottom w:val="single" w:sz="4" w:space="0" w:color="auto"/>
              <w:right w:val="single" w:sz="4" w:space="0" w:color="auto"/>
            </w:tcBorders>
            <w:shd w:val="clear" w:color="auto" w:fill="auto"/>
            <w:noWrap/>
            <w:vAlign w:val="bottom"/>
            <w:hideMark/>
          </w:tcPr>
          <w:p w14:paraId="03CA54F9" w14:textId="77777777"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sidRPr="00393BED">
              <w:rPr>
                <w:rFonts w:ascii="Times New Roman" w:eastAsia="Times New Roman" w:hAnsi="Times New Roman" w:cs="Times New Roman"/>
                <w:sz w:val="20"/>
                <w:szCs w:val="20"/>
                <w:lang w:eastAsia="bg-BG"/>
              </w:rPr>
              <w:t>221 760</w:t>
            </w:r>
          </w:p>
        </w:tc>
        <w:tc>
          <w:tcPr>
            <w:tcW w:w="524" w:type="pct"/>
            <w:tcBorders>
              <w:top w:val="nil"/>
              <w:left w:val="nil"/>
              <w:bottom w:val="single" w:sz="4" w:space="0" w:color="auto"/>
              <w:right w:val="single" w:sz="4" w:space="0" w:color="auto"/>
            </w:tcBorders>
            <w:shd w:val="clear" w:color="auto" w:fill="auto"/>
            <w:noWrap/>
            <w:vAlign w:val="bottom"/>
            <w:hideMark/>
          </w:tcPr>
          <w:p w14:paraId="042A9234" w14:textId="7C20C7F2" w:rsidR="00393BED" w:rsidRPr="00393BED" w:rsidRDefault="009F0647"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200 610</w:t>
            </w:r>
          </w:p>
        </w:tc>
        <w:tc>
          <w:tcPr>
            <w:tcW w:w="523" w:type="pct"/>
            <w:tcBorders>
              <w:top w:val="nil"/>
              <w:left w:val="nil"/>
              <w:bottom w:val="single" w:sz="4" w:space="0" w:color="auto"/>
              <w:right w:val="single" w:sz="4" w:space="0" w:color="auto"/>
            </w:tcBorders>
            <w:shd w:val="clear" w:color="auto" w:fill="auto"/>
            <w:noWrap/>
            <w:vAlign w:val="bottom"/>
            <w:hideMark/>
          </w:tcPr>
          <w:p w14:paraId="70377BC7" w14:textId="047FC0AF"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p>
        </w:tc>
        <w:tc>
          <w:tcPr>
            <w:tcW w:w="523" w:type="pct"/>
            <w:tcBorders>
              <w:top w:val="nil"/>
              <w:left w:val="nil"/>
              <w:bottom w:val="single" w:sz="4" w:space="0" w:color="auto"/>
              <w:right w:val="single" w:sz="4" w:space="0" w:color="auto"/>
            </w:tcBorders>
            <w:shd w:val="clear" w:color="auto" w:fill="auto"/>
            <w:noWrap/>
            <w:vAlign w:val="bottom"/>
            <w:hideMark/>
          </w:tcPr>
          <w:p w14:paraId="1B94658D" w14:textId="340FAB8D"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p>
        </w:tc>
        <w:tc>
          <w:tcPr>
            <w:tcW w:w="524" w:type="pct"/>
            <w:tcBorders>
              <w:top w:val="nil"/>
              <w:left w:val="nil"/>
              <w:bottom w:val="single" w:sz="4" w:space="0" w:color="auto"/>
              <w:right w:val="single" w:sz="4" w:space="0" w:color="auto"/>
            </w:tcBorders>
            <w:shd w:val="clear" w:color="auto" w:fill="auto"/>
            <w:noWrap/>
            <w:vAlign w:val="bottom"/>
            <w:hideMark/>
          </w:tcPr>
          <w:p w14:paraId="27088733" w14:textId="58351FFB" w:rsidR="00393BED" w:rsidRPr="00393BED" w:rsidRDefault="00393BED" w:rsidP="001365A2">
            <w:pPr>
              <w:shd w:val="clear" w:color="auto" w:fill="FFFFFF" w:themeFill="background1"/>
              <w:spacing w:after="0" w:line="240" w:lineRule="auto"/>
              <w:jc w:val="center"/>
              <w:rPr>
                <w:rFonts w:ascii="Times New Roman" w:eastAsia="Times New Roman" w:hAnsi="Times New Roman" w:cs="Times New Roman"/>
                <w:sz w:val="20"/>
                <w:szCs w:val="20"/>
                <w:lang w:eastAsia="bg-BG"/>
              </w:rPr>
            </w:pPr>
          </w:p>
        </w:tc>
        <w:tc>
          <w:tcPr>
            <w:tcW w:w="607" w:type="pct"/>
            <w:tcBorders>
              <w:top w:val="nil"/>
              <w:left w:val="nil"/>
              <w:bottom w:val="single" w:sz="4" w:space="0" w:color="auto"/>
              <w:right w:val="single" w:sz="4" w:space="0" w:color="auto"/>
            </w:tcBorders>
            <w:shd w:val="clear" w:color="auto" w:fill="auto"/>
            <w:noWrap/>
            <w:vAlign w:val="bottom"/>
            <w:hideMark/>
          </w:tcPr>
          <w:p w14:paraId="0D37731E" w14:textId="6E517CA9" w:rsidR="00393BED" w:rsidRPr="00393BED" w:rsidRDefault="009F0647"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691</w:t>
            </w:r>
            <w:r w:rsidR="00393BED" w:rsidRPr="00393BED">
              <w:rPr>
                <w:rFonts w:ascii="Times New Roman" w:eastAsia="Times New Roman" w:hAnsi="Times New Roman" w:cs="Times New Roman"/>
                <w:b/>
                <w:bCs/>
                <w:sz w:val="20"/>
                <w:szCs w:val="20"/>
                <w:lang w:eastAsia="bg-BG"/>
              </w:rPr>
              <w:t xml:space="preserve"> </w:t>
            </w:r>
            <w:r>
              <w:rPr>
                <w:rFonts w:ascii="Times New Roman" w:eastAsia="Times New Roman" w:hAnsi="Times New Roman" w:cs="Times New Roman"/>
                <w:b/>
                <w:bCs/>
                <w:sz w:val="20"/>
                <w:szCs w:val="20"/>
                <w:lang w:eastAsia="bg-BG"/>
              </w:rPr>
              <w:t>27</w:t>
            </w:r>
            <w:r w:rsidR="00393BED" w:rsidRPr="00393BED">
              <w:rPr>
                <w:rFonts w:ascii="Times New Roman" w:eastAsia="Times New Roman" w:hAnsi="Times New Roman" w:cs="Times New Roman"/>
                <w:b/>
                <w:bCs/>
                <w:sz w:val="20"/>
                <w:szCs w:val="20"/>
                <w:lang w:eastAsia="bg-BG"/>
              </w:rPr>
              <w:t>0</w:t>
            </w:r>
          </w:p>
        </w:tc>
        <w:tc>
          <w:tcPr>
            <w:tcW w:w="831" w:type="pct"/>
            <w:tcBorders>
              <w:top w:val="single" w:sz="4" w:space="0" w:color="auto"/>
              <w:left w:val="nil"/>
              <w:bottom w:val="single" w:sz="4" w:space="0" w:color="auto"/>
              <w:right w:val="single" w:sz="4" w:space="0" w:color="auto"/>
            </w:tcBorders>
            <w:shd w:val="clear" w:color="auto" w:fill="auto"/>
            <w:noWrap/>
            <w:vAlign w:val="bottom"/>
            <w:hideMark/>
          </w:tcPr>
          <w:p w14:paraId="2347F33B" w14:textId="306AF652" w:rsidR="00393BED" w:rsidRPr="00393BED" w:rsidRDefault="009F0647" w:rsidP="001365A2">
            <w:pPr>
              <w:shd w:val="clear" w:color="auto" w:fill="FFFFFF" w:themeFill="background1"/>
              <w:spacing w:after="0" w:line="240"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2</w:t>
            </w:r>
            <w:r w:rsidR="00393BED" w:rsidRPr="00393BED">
              <w:rPr>
                <w:rFonts w:ascii="Times New Roman" w:eastAsia="Times New Roman" w:hAnsi="Times New Roman" w:cs="Times New Roman"/>
                <w:b/>
                <w:bCs/>
                <w:sz w:val="20"/>
                <w:szCs w:val="20"/>
                <w:lang w:eastAsia="bg-BG"/>
              </w:rPr>
              <w:t xml:space="preserve"> </w:t>
            </w:r>
            <w:r>
              <w:rPr>
                <w:rFonts w:ascii="Times New Roman" w:eastAsia="Times New Roman" w:hAnsi="Times New Roman" w:cs="Times New Roman"/>
                <w:b/>
                <w:bCs/>
                <w:sz w:val="20"/>
                <w:szCs w:val="20"/>
                <w:lang w:eastAsia="bg-BG"/>
              </w:rPr>
              <w:t>1</w:t>
            </w:r>
            <w:r w:rsidR="00393BED" w:rsidRPr="00393BED">
              <w:rPr>
                <w:rFonts w:ascii="Times New Roman" w:eastAsia="Times New Roman" w:hAnsi="Times New Roman" w:cs="Times New Roman"/>
                <w:b/>
                <w:bCs/>
                <w:sz w:val="20"/>
                <w:szCs w:val="20"/>
                <w:lang w:eastAsia="bg-BG"/>
              </w:rPr>
              <w:t xml:space="preserve">86 </w:t>
            </w:r>
            <w:r>
              <w:rPr>
                <w:rFonts w:ascii="Times New Roman" w:eastAsia="Times New Roman" w:hAnsi="Times New Roman" w:cs="Times New Roman"/>
                <w:b/>
                <w:bCs/>
                <w:sz w:val="20"/>
                <w:szCs w:val="20"/>
                <w:lang w:eastAsia="bg-BG"/>
              </w:rPr>
              <w:t>98</w:t>
            </w:r>
            <w:r w:rsidR="00393BED" w:rsidRPr="00393BED">
              <w:rPr>
                <w:rFonts w:ascii="Times New Roman" w:eastAsia="Times New Roman" w:hAnsi="Times New Roman" w:cs="Times New Roman"/>
                <w:b/>
                <w:bCs/>
                <w:sz w:val="20"/>
                <w:szCs w:val="20"/>
                <w:lang w:eastAsia="bg-BG"/>
              </w:rPr>
              <w:t>5</w:t>
            </w:r>
          </w:p>
        </w:tc>
      </w:tr>
    </w:tbl>
    <w:p w14:paraId="48854E37" w14:textId="77777777" w:rsidR="00393BED" w:rsidRPr="00393BED" w:rsidRDefault="00393BED"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p>
    <w:p w14:paraId="3D1669D9" w14:textId="3A753AA7" w:rsidR="00393BED" w:rsidRPr="00393BED" w:rsidRDefault="00393BED"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r w:rsidRPr="00393BED">
        <w:rPr>
          <w:rFonts w:ascii="Times New Roman" w:eastAsia="Times New Roman" w:hAnsi="Times New Roman" w:cs="Times New Roman"/>
          <w:sz w:val="24"/>
          <w:szCs w:val="24"/>
          <w:lang w:eastAsia="bg-BG"/>
        </w:rPr>
        <w:t xml:space="preserve">Утвърдената със Заповед № Е-РД-16-295/25.06.2020г. на Министъра на енергетиката обща годишна квота в размер на 2 600 000 </w:t>
      </w:r>
      <w:proofErr w:type="spellStart"/>
      <w:r w:rsidRPr="00393BED">
        <w:rPr>
          <w:rFonts w:ascii="Times New Roman" w:eastAsia="Times New Roman" w:hAnsi="Times New Roman" w:cs="Times New Roman"/>
          <w:sz w:val="24"/>
          <w:szCs w:val="24"/>
          <w:lang w:eastAsia="bg-BG"/>
        </w:rPr>
        <w:t>МВтч</w:t>
      </w:r>
      <w:proofErr w:type="spellEnd"/>
      <w:r w:rsidRPr="00393BED">
        <w:rPr>
          <w:rFonts w:ascii="Times New Roman" w:eastAsia="Times New Roman" w:hAnsi="Times New Roman" w:cs="Times New Roman"/>
          <w:sz w:val="24"/>
          <w:szCs w:val="24"/>
          <w:lang w:eastAsia="bg-BG"/>
        </w:rPr>
        <w:t xml:space="preserve"> за задължително изкупуване на електрическа енергия, произведена от местни първични енергийни източници на гориво, е взета предвид </w:t>
      </w:r>
      <w:r w:rsidR="005623EA">
        <w:rPr>
          <w:rFonts w:ascii="Times New Roman" w:eastAsia="Times New Roman" w:hAnsi="Times New Roman" w:cs="Times New Roman"/>
          <w:sz w:val="24"/>
          <w:szCs w:val="24"/>
          <w:lang w:eastAsia="bg-BG"/>
        </w:rPr>
        <w:t xml:space="preserve">от КЕВР </w:t>
      </w:r>
      <w:r w:rsidRPr="00393BED">
        <w:rPr>
          <w:rFonts w:ascii="Times New Roman" w:eastAsia="Times New Roman" w:hAnsi="Times New Roman" w:cs="Times New Roman"/>
          <w:sz w:val="24"/>
          <w:szCs w:val="24"/>
          <w:lang w:eastAsia="bg-BG"/>
        </w:rPr>
        <w:t>при изчисляване на прогнозната цена на електрическата енергия, която „ТЕЦ Марица изток 2“ЕАД ще предоставя на обществения доставчик. Тъй като тази цена</w:t>
      </w:r>
      <w:r w:rsidR="005623EA">
        <w:rPr>
          <w:rFonts w:ascii="Times New Roman" w:eastAsia="Times New Roman" w:hAnsi="Times New Roman" w:cs="Times New Roman"/>
          <w:sz w:val="24"/>
          <w:szCs w:val="24"/>
          <w:lang w:eastAsia="bg-BG"/>
        </w:rPr>
        <w:t>та, определена от КЕВР</w:t>
      </w:r>
      <w:r w:rsidRPr="00393BED">
        <w:rPr>
          <w:rFonts w:ascii="Times New Roman" w:eastAsia="Times New Roman" w:hAnsi="Times New Roman" w:cs="Times New Roman"/>
          <w:sz w:val="24"/>
          <w:szCs w:val="24"/>
          <w:lang w:eastAsia="bg-BG"/>
        </w:rPr>
        <w:t xml:space="preserve"> е прогнозна, тя отразява регулаторната преценка за стойността на разходите преди тяхното фактическо извършване и в зависимост от изпълнението на определената квота, тези разходи могат да варират, като в случая за текущия регулаторен период </w:t>
      </w:r>
      <w:r w:rsidR="005623EA">
        <w:rPr>
          <w:rFonts w:ascii="Times New Roman" w:eastAsia="Times New Roman" w:hAnsi="Times New Roman" w:cs="Times New Roman"/>
          <w:sz w:val="24"/>
          <w:szCs w:val="24"/>
          <w:lang w:eastAsia="bg-BG"/>
        </w:rPr>
        <w:t xml:space="preserve">разходите за нейното производство значително надхвърлят </w:t>
      </w:r>
      <w:r w:rsidR="00402FF8">
        <w:rPr>
          <w:rFonts w:ascii="Times New Roman" w:eastAsia="Times New Roman" w:hAnsi="Times New Roman" w:cs="Times New Roman"/>
          <w:sz w:val="24"/>
          <w:szCs w:val="24"/>
          <w:lang w:eastAsia="bg-BG"/>
        </w:rPr>
        <w:t>изчислената от КЕВР цена</w:t>
      </w:r>
      <w:r w:rsidRPr="00393BED">
        <w:rPr>
          <w:rFonts w:ascii="Times New Roman" w:eastAsia="Times New Roman" w:hAnsi="Times New Roman" w:cs="Times New Roman"/>
          <w:sz w:val="24"/>
          <w:szCs w:val="24"/>
          <w:lang w:eastAsia="bg-BG"/>
        </w:rPr>
        <w:t xml:space="preserve">. </w:t>
      </w:r>
    </w:p>
    <w:p w14:paraId="109EE48E" w14:textId="3E57DCB4" w:rsidR="00393BED" w:rsidRPr="00393BED" w:rsidRDefault="00393BED" w:rsidP="001365A2">
      <w:pPr>
        <w:shd w:val="clear" w:color="auto" w:fill="FFFFFF" w:themeFill="background1"/>
        <w:spacing w:after="120" w:line="240" w:lineRule="auto"/>
        <w:jc w:val="both"/>
        <w:rPr>
          <w:rFonts w:ascii="Times New Roman" w:eastAsia="Times New Roman" w:hAnsi="Times New Roman" w:cs="Times New Roman"/>
          <w:sz w:val="24"/>
          <w:szCs w:val="24"/>
          <w:lang w:eastAsia="bg-BG"/>
        </w:rPr>
      </w:pPr>
      <w:r w:rsidRPr="00393BED">
        <w:rPr>
          <w:rFonts w:ascii="Times New Roman" w:eastAsia="Times New Roman" w:hAnsi="Times New Roman" w:cs="Times New Roman"/>
          <w:sz w:val="24"/>
          <w:szCs w:val="24"/>
          <w:lang w:eastAsia="bg-BG"/>
        </w:rPr>
        <w:t xml:space="preserve">Съгласно т. </w:t>
      </w:r>
      <w:r w:rsidRPr="00393BED">
        <w:rPr>
          <w:rFonts w:ascii="Times New Roman" w:eastAsia="Times New Roman" w:hAnsi="Times New Roman" w:cs="Times New Roman"/>
          <w:sz w:val="24"/>
          <w:szCs w:val="24"/>
          <w:lang w:val="en-GB" w:eastAsia="bg-BG"/>
        </w:rPr>
        <w:t>III</w:t>
      </w:r>
      <w:r w:rsidRPr="00393BED">
        <w:rPr>
          <w:rFonts w:ascii="Times New Roman" w:eastAsia="Times New Roman" w:hAnsi="Times New Roman" w:cs="Times New Roman"/>
          <w:sz w:val="24"/>
          <w:szCs w:val="24"/>
          <w:lang w:eastAsia="bg-BG"/>
        </w:rPr>
        <w:t xml:space="preserve"> на цитираната по-горе заповед, изпълнителният директор на „ТЕЦ Марица изток 2</w:t>
      </w:r>
      <w:r w:rsidR="00402FF8" w:rsidRPr="006249F3">
        <w:rPr>
          <w:rFonts w:ascii="Times New Roman" w:eastAsia="Times New Roman" w:hAnsi="Times New Roman" w:cs="Times New Roman"/>
          <w:sz w:val="24"/>
          <w:szCs w:val="24"/>
          <w:lang w:eastAsia="bg-BG"/>
        </w:rPr>
        <w:t>“</w:t>
      </w:r>
      <w:r w:rsidR="00402FF8">
        <w:rPr>
          <w:rFonts w:ascii="Times New Roman" w:eastAsia="Times New Roman" w:hAnsi="Times New Roman" w:cs="Times New Roman"/>
          <w:sz w:val="24"/>
          <w:szCs w:val="24"/>
          <w:lang w:eastAsia="bg-BG"/>
        </w:rPr>
        <w:t>"</w:t>
      </w:r>
      <w:r w:rsidR="00402FF8" w:rsidRPr="00393BED">
        <w:rPr>
          <w:rFonts w:ascii="Times New Roman" w:eastAsia="Times New Roman" w:hAnsi="Times New Roman" w:cs="Times New Roman"/>
          <w:sz w:val="24"/>
          <w:szCs w:val="24"/>
          <w:lang w:eastAsia="bg-BG"/>
        </w:rPr>
        <w:t xml:space="preserve"> </w:t>
      </w:r>
      <w:r w:rsidRPr="00393BED">
        <w:rPr>
          <w:rFonts w:ascii="Times New Roman" w:eastAsia="Times New Roman" w:hAnsi="Times New Roman" w:cs="Times New Roman"/>
          <w:sz w:val="24"/>
          <w:szCs w:val="24"/>
          <w:lang w:eastAsia="bg-BG"/>
        </w:rPr>
        <w:t xml:space="preserve">ЕАД </w:t>
      </w:r>
      <w:r w:rsidR="00402FF8">
        <w:rPr>
          <w:rFonts w:ascii="Times New Roman" w:eastAsia="Times New Roman" w:hAnsi="Times New Roman" w:cs="Times New Roman"/>
          <w:sz w:val="24"/>
          <w:szCs w:val="24"/>
          <w:lang w:eastAsia="bg-BG"/>
        </w:rPr>
        <w:t xml:space="preserve">следва </w:t>
      </w:r>
      <w:r w:rsidRPr="00393BED">
        <w:rPr>
          <w:rFonts w:ascii="Times New Roman" w:eastAsia="Times New Roman" w:hAnsi="Times New Roman" w:cs="Times New Roman"/>
          <w:sz w:val="24"/>
          <w:szCs w:val="24"/>
          <w:lang w:eastAsia="bg-BG"/>
        </w:rPr>
        <w:t>да предприеме необходимите действия, с цел извършените от енергийното предприятие разходи, произтичащи от задължението за производство на електрическа енергия при използване на местни първични енергийни източници да бъдат предявени, респективно признати като разходи по реда на чл. 35 от Закона за енергетиката.</w:t>
      </w:r>
    </w:p>
    <w:p w14:paraId="79C6DE95" w14:textId="6466E9FE" w:rsidR="006249F3" w:rsidRDefault="006249F3" w:rsidP="001365A2">
      <w:pPr>
        <w:spacing w:after="120" w:line="240" w:lineRule="auto"/>
        <w:jc w:val="both"/>
        <w:rPr>
          <w:rFonts w:ascii="Times New Roman" w:eastAsia="Times New Roman" w:hAnsi="Times New Roman" w:cs="Times New Roman"/>
          <w:sz w:val="24"/>
          <w:szCs w:val="24"/>
          <w:lang w:eastAsia="bg-BG"/>
        </w:rPr>
      </w:pPr>
      <w:r w:rsidRPr="006249F3">
        <w:rPr>
          <w:rFonts w:ascii="Times New Roman" w:eastAsia="Times New Roman" w:hAnsi="Times New Roman" w:cs="Times New Roman"/>
          <w:sz w:val="24"/>
          <w:szCs w:val="24"/>
          <w:lang w:eastAsia="bg-BG"/>
        </w:rPr>
        <w:t xml:space="preserve">Управлението на електроенергийния баланс на страната се извършва в неговата цялост, без значение дали клиентите получават доставки по регулирани или свободно договорени цени. Физическата доставка на електроенергия се извършва по нива на напрежение и всички клиенти следва да имат достъп до енергийни услуги, независимо от принадлежността им към определен пазарен сегмент. Независимо от това обаче, КЕВР взема решение единствено за обезпечаване на потреблението на регулиран пазар, чрез налагане на допълнителни задължения към обществото на „ТЕЦ Марица изток 2“ЕАД. </w:t>
      </w:r>
    </w:p>
    <w:p w14:paraId="470C99A4" w14:textId="77777777" w:rsidR="001D49C1" w:rsidRDefault="006249F3" w:rsidP="001365A2">
      <w:pPr>
        <w:spacing w:after="120" w:line="240" w:lineRule="auto"/>
        <w:jc w:val="both"/>
        <w:rPr>
          <w:rFonts w:ascii="Times New Roman" w:eastAsia="Times New Roman" w:hAnsi="Times New Roman" w:cs="Times New Roman"/>
          <w:sz w:val="24"/>
          <w:szCs w:val="24"/>
          <w:lang w:eastAsia="bg-BG"/>
        </w:rPr>
      </w:pPr>
      <w:r w:rsidRPr="006249F3">
        <w:rPr>
          <w:rFonts w:ascii="Times New Roman" w:eastAsia="Times New Roman" w:hAnsi="Times New Roman" w:cs="Times New Roman"/>
          <w:sz w:val="24"/>
          <w:szCs w:val="24"/>
          <w:lang w:eastAsia="bg-BG"/>
        </w:rPr>
        <w:t>Със заповед № Е-РД-16-39/29.01.2020 г. на основание чл. 70, ал. 1 и ал. 3, във връзка с ал. 2, т. 1 и ал. 4 от ЗЕ са наложени допълнителни задължения за об</w:t>
      </w:r>
      <w:r w:rsidR="00416163">
        <w:rPr>
          <w:rFonts w:ascii="Times New Roman" w:eastAsia="Times New Roman" w:hAnsi="Times New Roman" w:cs="Times New Roman"/>
          <w:sz w:val="24"/>
          <w:szCs w:val="24"/>
          <w:lang w:eastAsia="bg-BG"/>
        </w:rPr>
        <w:t>служване на обществото, свързани</w:t>
      </w:r>
      <w:r w:rsidRPr="006249F3">
        <w:rPr>
          <w:rFonts w:ascii="Times New Roman" w:eastAsia="Times New Roman" w:hAnsi="Times New Roman" w:cs="Times New Roman"/>
          <w:sz w:val="24"/>
          <w:szCs w:val="24"/>
          <w:lang w:eastAsia="bg-BG"/>
        </w:rPr>
        <w:t xml:space="preserve"> с предоставяне на допълнителни количества електрическа енергия над количествата определени със Заповед № Е-РД-16-417/18.06.2019  г. в размер на 1 981 420 </w:t>
      </w:r>
      <w:proofErr w:type="spellStart"/>
      <w:r w:rsidRPr="006249F3">
        <w:rPr>
          <w:rFonts w:ascii="Times New Roman" w:eastAsia="Times New Roman" w:hAnsi="Times New Roman" w:cs="Times New Roman"/>
          <w:sz w:val="24"/>
          <w:szCs w:val="24"/>
          <w:lang w:eastAsia="bg-BG"/>
        </w:rPr>
        <w:t>МВтч</w:t>
      </w:r>
      <w:proofErr w:type="spellEnd"/>
      <w:r w:rsidRPr="006249F3">
        <w:rPr>
          <w:rFonts w:ascii="Times New Roman" w:eastAsia="Times New Roman" w:hAnsi="Times New Roman" w:cs="Times New Roman"/>
          <w:sz w:val="24"/>
          <w:szCs w:val="24"/>
          <w:lang w:eastAsia="bg-BG"/>
        </w:rPr>
        <w:t xml:space="preserve"> за задоволяване нуждите на регулирания пазар, респективно за гарантиране сигурността на доставките на електрическа енергия, със срок до 30.06.2020 г. Разходите, които ще възникнат от изпълнението на тези задължения подлежат на предявяване</w:t>
      </w:r>
      <w:r w:rsidR="006D55D3">
        <w:rPr>
          <w:rFonts w:ascii="Times New Roman" w:eastAsia="Times New Roman" w:hAnsi="Times New Roman" w:cs="Times New Roman"/>
          <w:sz w:val="24"/>
          <w:szCs w:val="24"/>
          <w:lang w:eastAsia="bg-BG"/>
        </w:rPr>
        <w:t xml:space="preserve"> пред КЕВР</w:t>
      </w:r>
      <w:r w:rsidRPr="006249F3">
        <w:rPr>
          <w:rFonts w:ascii="Times New Roman" w:eastAsia="Times New Roman" w:hAnsi="Times New Roman" w:cs="Times New Roman"/>
          <w:sz w:val="24"/>
          <w:szCs w:val="24"/>
          <w:lang w:eastAsia="bg-BG"/>
        </w:rPr>
        <w:t>, респективно признаване по чл. 35 от ЗЕ и следва да бъдат включени в ценовото заявление за новия регулаторен период, както изрично е посочено в заповедта на министъра.</w:t>
      </w:r>
    </w:p>
    <w:p w14:paraId="44DBDC1A" w14:textId="0B93B876" w:rsidR="00E170FD" w:rsidRPr="00C33CCC" w:rsidRDefault="00E170FD" w:rsidP="001365A2">
      <w:pPr>
        <w:spacing w:after="120" w:line="240" w:lineRule="auto"/>
        <w:jc w:val="both"/>
        <w:rPr>
          <w:rFonts w:ascii="Times New Roman" w:eastAsia="Calibri" w:hAnsi="Times New Roman" w:cs="Times New Roman"/>
          <w:color w:val="FF0000"/>
          <w:sz w:val="24"/>
          <w:szCs w:val="24"/>
        </w:rPr>
      </w:pPr>
      <w:r>
        <w:rPr>
          <w:rFonts w:ascii="Times New Roman" w:eastAsia="Calibri" w:hAnsi="Times New Roman" w:cs="Times New Roman"/>
          <w:sz w:val="24"/>
          <w:szCs w:val="24"/>
        </w:rPr>
        <w:t xml:space="preserve">Видно от представената отчетна информация за извършените разходи през 2020 г., съдържаща се в справки с № 1-5 към настоящото заявление за цени, променливите </w:t>
      </w:r>
      <w:r>
        <w:rPr>
          <w:rFonts w:ascii="Times New Roman" w:eastAsia="Calibri" w:hAnsi="Times New Roman" w:cs="Times New Roman"/>
          <w:sz w:val="24"/>
          <w:szCs w:val="24"/>
        </w:rPr>
        <w:lastRenderedPageBreak/>
        <w:t xml:space="preserve">разходи на „ТЕЦ Марица изток 2“ЕАД надхвърлят значително стойността на регулаторно определените за съответния ценови период. Отчетените по-високи променливи разходи за 2020 г. </w:t>
      </w:r>
      <w:r w:rsidR="00557112">
        <w:rPr>
          <w:rFonts w:ascii="Times New Roman" w:eastAsia="Calibri" w:hAnsi="Times New Roman" w:cs="Times New Roman"/>
          <w:sz w:val="24"/>
          <w:szCs w:val="24"/>
        </w:rPr>
        <w:t>основно</w:t>
      </w:r>
      <w:r w:rsidR="00402FF8">
        <w:rPr>
          <w:rFonts w:ascii="Times New Roman" w:eastAsia="Calibri" w:hAnsi="Times New Roman" w:cs="Times New Roman"/>
          <w:sz w:val="24"/>
          <w:szCs w:val="24"/>
        </w:rPr>
        <w:t xml:space="preserve"> са </w:t>
      </w:r>
      <w:r w:rsidR="00557112">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резултат на разликата между прогнозна</w:t>
      </w:r>
      <w:r w:rsidR="00557112">
        <w:rPr>
          <w:rFonts w:ascii="Times New Roman" w:eastAsia="Calibri" w:hAnsi="Times New Roman" w:cs="Times New Roman"/>
          <w:sz w:val="24"/>
          <w:szCs w:val="24"/>
        </w:rPr>
        <w:t>та, използвана от КЕВР,</w:t>
      </w:r>
      <w:r>
        <w:rPr>
          <w:rFonts w:ascii="Times New Roman" w:eastAsia="Calibri" w:hAnsi="Times New Roman" w:cs="Times New Roman"/>
          <w:sz w:val="24"/>
          <w:szCs w:val="24"/>
        </w:rPr>
        <w:t xml:space="preserve"> и </w:t>
      </w:r>
      <w:r w:rsidR="00402FF8">
        <w:rPr>
          <w:rFonts w:ascii="Times New Roman" w:eastAsia="Calibri" w:hAnsi="Times New Roman" w:cs="Times New Roman"/>
          <w:sz w:val="24"/>
          <w:szCs w:val="24"/>
        </w:rPr>
        <w:t xml:space="preserve">реално отчетните цени </w:t>
      </w:r>
      <w:r>
        <w:rPr>
          <w:rFonts w:ascii="Times New Roman" w:eastAsia="Calibri" w:hAnsi="Times New Roman" w:cs="Times New Roman"/>
          <w:sz w:val="24"/>
          <w:szCs w:val="24"/>
        </w:rPr>
        <w:t>на квоти</w:t>
      </w:r>
      <w:r w:rsidR="00402FF8">
        <w:rPr>
          <w:rFonts w:ascii="Times New Roman" w:eastAsia="Calibri" w:hAnsi="Times New Roman" w:cs="Times New Roman"/>
          <w:sz w:val="24"/>
          <w:szCs w:val="24"/>
        </w:rPr>
        <w:t>те</w:t>
      </w:r>
      <w:r>
        <w:rPr>
          <w:rFonts w:ascii="Times New Roman" w:eastAsia="Calibri" w:hAnsi="Times New Roman" w:cs="Times New Roman"/>
          <w:sz w:val="24"/>
          <w:szCs w:val="24"/>
        </w:rPr>
        <w:t xml:space="preserve"> за емисии парникови газове. </w:t>
      </w:r>
      <w:r w:rsidR="00557112">
        <w:rPr>
          <w:rFonts w:ascii="Times New Roman" w:eastAsia="Calibri" w:hAnsi="Times New Roman" w:cs="Times New Roman"/>
          <w:sz w:val="24"/>
          <w:szCs w:val="24"/>
        </w:rPr>
        <w:t xml:space="preserve">Признатите от КЕВР разходи за парникови газове </w:t>
      </w:r>
      <w:r>
        <w:rPr>
          <w:rFonts w:ascii="Times New Roman" w:eastAsia="Calibri" w:hAnsi="Times New Roman" w:cs="Times New Roman"/>
          <w:sz w:val="24"/>
          <w:szCs w:val="24"/>
        </w:rPr>
        <w:t xml:space="preserve">при изчисляване на цената на електрическата енергия </w:t>
      </w:r>
      <w:r w:rsidR="00557112">
        <w:rPr>
          <w:rFonts w:ascii="Times New Roman" w:eastAsia="Calibri" w:hAnsi="Times New Roman" w:cs="Times New Roman"/>
          <w:sz w:val="24"/>
          <w:szCs w:val="24"/>
        </w:rPr>
        <w:t xml:space="preserve">на „ТЕЦ Марица изток 2“ ЕАД в </w:t>
      </w:r>
      <w:r w:rsidR="00557112" w:rsidRPr="00557112">
        <w:rPr>
          <w:rFonts w:ascii="Times New Roman" w:eastAsia="Calibri" w:hAnsi="Times New Roman" w:cs="Times New Roman"/>
          <w:sz w:val="24"/>
          <w:szCs w:val="24"/>
        </w:rPr>
        <w:t>Решение № Ц-19/01.07.2019</w:t>
      </w:r>
      <w:r>
        <w:rPr>
          <w:rFonts w:ascii="Times New Roman" w:eastAsia="Calibri" w:hAnsi="Times New Roman" w:cs="Times New Roman"/>
          <w:sz w:val="24"/>
          <w:szCs w:val="24"/>
        </w:rPr>
        <w:t xml:space="preserve">г. </w:t>
      </w:r>
      <w:r w:rsidR="00557112">
        <w:rPr>
          <w:rFonts w:ascii="Times New Roman" w:eastAsia="Calibri" w:hAnsi="Times New Roman" w:cs="Times New Roman"/>
          <w:sz w:val="24"/>
          <w:szCs w:val="24"/>
        </w:rPr>
        <w:t xml:space="preserve">са </w:t>
      </w:r>
      <w:r>
        <w:rPr>
          <w:rFonts w:ascii="Times New Roman" w:eastAsia="Calibri" w:hAnsi="Times New Roman" w:cs="Times New Roman"/>
          <w:sz w:val="24"/>
          <w:szCs w:val="24"/>
        </w:rPr>
        <w:t>в размер на 51,61 лв./</w:t>
      </w:r>
      <w:proofErr w:type="spellStart"/>
      <w:r w:rsidR="00557112">
        <w:rPr>
          <w:rFonts w:ascii="Times New Roman" w:eastAsia="Calibri" w:hAnsi="Times New Roman" w:cs="Times New Roman"/>
          <w:sz w:val="24"/>
          <w:szCs w:val="24"/>
        </w:rPr>
        <w:t>МВтч</w:t>
      </w:r>
      <w:proofErr w:type="spellEnd"/>
      <w:r>
        <w:rPr>
          <w:rFonts w:ascii="Times New Roman" w:eastAsia="Calibri" w:hAnsi="Times New Roman" w:cs="Times New Roman"/>
          <w:sz w:val="24"/>
          <w:szCs w:val="24"/>
        </w:rPr>
        <w:t xml:space="preserve">, а </w:t>
      </w:r>
      <w:r w:rsidR="00557112">
        <w:rPr>
          <w:rFonts w:ascii="Times New Roman" w:eastAsia="Calibri" w:hAnsi="Times New Roman" w:cs="Times New Roman"/>
          <w:sz w:val="24"/>
          <w:szCs w:val="24"/>
        </w:rPr>
        <w:t xml:space="preserve">в </w:t>
      </w:r>
      <w:r w:rsidR="00557112" w:rsidRPr="00557112">
        <w:rPr>
          <w:rFonts w:ascii="Times New Roman" w:eastAsia="Calibri" w:hAnsi="Times New Roman" w:cs="Times New Roman"/>
          <w:sz w:val="24"/>
          <w:szCs w:val="24"/>
        </w:rPr>
        <w:t xml:space="preserve">Решение № Ц-29/01.07.2020  </w:t>
      </w:r>
      <w:r>
        <w:rPr>
          <w:rFonts w:ascii="Times New Roman" w:eastAsia="Calibri" w:hAnsi="Times New Roman" w:cs="Times New Roman"/>
          <w:sz w:val="24"/>
          <w:szCs w:val="24"/>
        </w:rPr>
        <w:t xml:space="preserve">–55,94 лв./тон. Съгласно финансовия отчет за 2020 г. </w:t>
      </w:r>
      <w:r w:rsidR="00557112">
        <w:rPr>
          <w:rFonts w:ascii="Times New Roman" w:eastAsia="Calibri" w:hAnsi="Times New Roman" w:cs="Times New Roman"/>
          <w:sz w:val="24"/>
          <w:szCs w:val="24"/>
        </w:rPr>
        <w:t xml:space="preserve"> реално отчетените</w:t>
      </w:r>
      <w:r>
        <w:rPr>
          <w:rFonts w:ascii="Times New Roman" w:eastAsia="Calibri" w:hAnsi="Times New Roman" w:cs="Times New Roman"/>
          <w:sz w:val="24"/>
          <w:szCs w:val="24"/>
        </w:rPr>
        <w:t xml:space="preserve"> </w:t>
      </w:r>
      <w:r w:rsidR="00557112">
        <w:rPr>
          <w:rFonts w:ascii="Times New Roman" w:eastAsia="Calibri" w:hAnsi="Times New Roman" w:cs="Times New Roman"/>
          <w:sz w:val="24"/>
          <w:szCs w:val="24"/>
        </w:rPr>
        <w:t xml:space="preserve">разходи за </w:t>
      </w:r>
      <w:r>
        <w:rPr>
          <w:rFonts w:ascii="Times New Roman" w:eastAsia="Calibri" w:hAnsi="Times New Roman" w:cs="Times New Roman"/>
          <w:sz w:val="24"/>
          <w:szCs w:val="24"/>
        </w:rPr>
        <w:t xml:space="preserve"> закупените квоти за емисии </w:t>
      </w:r>
      <w:r w:rsidR="001F2B7D">
        <w:rPr>
          <w:rFonts w:ascii="Times New Roman" w:eastAsia="Calibri" w:hAnsi="Times New Roman" w:cs="Times New Roman"/>
          <w:sz w:val="24"/>
          <w:szCs w:val="24"/>
        </w:rPr>
        <w:t xml:space="preserve">са </w:t>
      </w:r>
      <w:r>
        <w:rPr>
          <w:rFonts w:ascii="Times New Roman" w:eastAsia="Calibri" w:hAnsi="Times New Roman" w:cs="Times New Roman"/>
          <w:sz w:val="24"/>
          <w:szCs w:val="24"/>
        </w:rPr>
        <w:t>в размер на 104,99 лв./</w:t>
      </w:r>
      <w:proofErr w:type="spellStart"/>
      <w:r w:rsidR="00707B1F">
        <w:rPr>
          <w:rFonts w:ascii="Times New Roman" w:eastAsia="Calibri" w:hAnsi="Times New Roman" w:cs="Times New Roman"/>
          <w:sz w:val="24"/>
          <w:szCs w:val="24"/>
        </w:rPr>
        <w:t>Мвтч</w:t>
      </w:r>
      <w:proofErr w:type="spellEnd"/>
      <w:r w:rsidR="0086466D">
        <w:rPr>
          <w:rFonts w:ascii="Times New Roman" w:eastAsia="Calibri" w:hAnsi="Times New Roman" w:cs="Times New Roman"/>
          <w:sz w:val="24"/>
          <w:szCs w:val="24"/>
        </w:rPr>
        <w:t>.</w:t>
      </w:r>
      <w:r>
        <w:rPr>
          <w:rFonts w:ascii="Times New Roman" w:eastAsia="Calibri" w:hAnsi="Times New Roman" w:cs="Times New Roman"/>
          <w:color w:val="FF0000"/>
          <w:sz w:val="24"/>
          <w:szCs w:val="24"/>
        </w:rPr>
        <w:t xml:space="preserve"> .</w:t>
      </w:r>
    </w:p>
    <w:p w14:paraId="41979F39" w14:textId="77777777" w:rsidR="00E170FD" w:rsidRDefault="00E170FD" w:rsidP="001365A2">
      <w:p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таблицата по-долу е представена детайлна информация за прогнозните и отчетени цени и количества, както следва:</w:t>
      </w:r>
    </w:p>
    <w:p w14:paraId="70C41603" w14:textId="77777777" w:rsidR="00E170FD" w:rsidRDefault="00E170FD" w:rsidP="00E170FD">
      <w:pPr>
        <w:jc w:val="both"/>
      </w:pPr>
      <w:r>
        <w:fldChar w:fldCharType="begin"/>
      </w:r>
      <w:r>
        <w:instrText xml:space="preserve"> LINK Excel.Sheet.12 "C:\\Users\\User\\Desktop\\MI2-Texniko-ikonom2020\\Квоти за емисии за компенсиране_29.03.2021_ss (1).xlsx" "Sheet1!R2C1:R13C6" \a \f 4 \h  \* MERGEFORMAT </w:instrText>
      </w:r>
      <w:r>
        <w:fldChar w:fldCharType="separate"/>
      </w:r>
    </w:p>
    <w:tbl>
      <w:tblPr>
        <w:tblW w:w="9878" w:type="dxa"/>
        <w:tblCellMar>
          <w:left w:w="70" w:type="dxa"/>
          <w:right w:w="70" w:type="dxa"/>
        </w:tblCellMar>
        <w:tblLook w:val="04A0" w:firstRow="1" w:lastRow="0" w:firstColumn="1" w:lastColumn="0" w:noHBand="0" w:noVBand="1"/>
      </w:tblPr>
      <w:tblGrid>
        <w:gridCol w:w="520"/>
        <w:gridCol w:w="3444"/>
        <w:gridCol w:w="914"/>
        <w:gridCol w:w="1638"/>
        <w:gridCol w:w="1701"/>
        <w:gridCol w:w="1661"/>
      </w:tblGrid>
      <w:tr w:rsidR="00E170FD" w:rsidRPr="00552AB7" w14:paraId="64DD0FA6" w14:textId="77777777" w:rsidTr="002E4B29">
        <w:trPr>
          <w:trHeight w:val="300"/>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D55CB" w14:textId="77777777" w:rsidR="00E170FD" w:rsidRPr="00552AB7" w:rsidRDefault="00E170FD" w:rsidP="002E4B29">
            <w:pPr>
              <w:spacing w:after="0" w:line="240" w:lineRule="auto"/>
              <w:jc w:val="center"/>
              <w:rPr>
                <w:rFonts w:ascii="Times New Roman" w:eastAsia="Times New Roman" w:hAnsi="Times New Roman" w:cs="Times New Roman"/>
                <w:color w:val="000000"/>
                <w:lang w:eastAsia="bg-BG"/>
              </w:rPr>
            </w:pPr>
            <w:r w:rsidRPr="00552AB7">
              <w:rPr>
                <w:rFonts w:ascii="Times New Roman" w:eastAsia="Times New Roman" w:hAnsi="Times New Roman" w:cs="Times New Roman"/>
                <w:color w:val="000000"/>
                <w:lang w:eastAsia="bg-BG"/>
              </w:rPr>
              <w:t> </w:t>
            </w:r>
          </w:p>
        </w:tc>
        <w:tc>
          <w:tcPr>
            <w:tcW w:w="76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212B62" w14:textId="77777777" w:rsidR="00E170FD" w:rsidRPr="00610788" w:rsidRDefault="00E170FD" w:rsidP="002E4B29">
            <w:pPr>
              <w:spacing w:after="0" w:line="240" w:lineRule="auto"/>
              <w:jc w:val="center"/>
              <w:rPr>
                <w:rFonts w:ascii="Times New Roman" w:eastAsia="Times New Roman" w:hAnsi="Times New Roman" w:cs="Times New Roman"/>
                <w:b/>
                <w:bCs/>
                <w:color w:val="000000"/>
                <w:lang w:eastAsia="bg-BG"/>
              </w:rPr>
            </w:pPr>
            <w:r w:rsidRPr="00610788">
              <w:rPr>
                <w:rFonts w:ascii="Times New Roman" w:eastAsia="Times New Roman" w:hAnsi="Times New Roman" w:cs="Times New Roman"/>
                <w:b/>
                <w:bCs/>
                <w:color w:val="000000"/>
                <w:lang w:eastAsia="bg-BG"/>
              </w:rPr>
              <w:t>Компенсиране на разходите за квоти за емисии през 2020 г.</w:t>
            </w:r>
          </w:p>
        </w:tc>
        <w:tc>
          <w:tcPr>
            <w:tcW w:w="1661" w:type="dxa"/>
            <w:tcBorders>
              <w:top w:val="single" w:sz="4" w:space="0" w:color="auto"/>
              <w:left w:val="nil"/>
              <w:bottom w:val="single" w:sz="4" w:space="0" w:color="auto"/>
              <w:right w:val="single" w:sz="4" w:space="0" w:color="auto"/>
            </w:tcBorders>
            <w:shd w:val="clear" w:color="auto" w:fill="auto"/>
            <w:noWrap/>
            <w:vAlign w:val="center"/>
            <w:hideMark/>
          </w:tcPr>
          <w:p w14:paraId="6D8A11E2" w14:textId="77777777" w:rsidR="00E170FD" w:rsidRPr="00610788" w:rsidRDefault="00E170FD" w:rsidP="002E4B29">
            <w:pPr>
              <w:spacing w:after="0" w:line="240" w:lineRule="auto"/>
              <w:jc w:val="center"/>
              <w:rPr>
                <w:rFonts w:ascii="Times New Roman" w:eastAsia="Times New Roman" w:hAnsi="Times New Roman" w:cs="Times New Roman"/>
                <w:b/>
                <w:bCs/>
                <w:color w:val="000000"/>
                <w:lang w:eastAsia="bg-BG"/>
              </w:rPr>
            </w:pPr>
            <w:r w:rsidRPr="00610788">
              <w:rPr>
                <w:rFonts w:ascii="Times New Roman" w:eastAsia="Times New Roman" w:hAnsi="Times New Roman" w:cs="Times New Roman"/>
                <w:b/>
                <w:bCs/>
                <w:color w:val="000000"/>
                <w:lang w:eastAsia="bg-BG"/>
              </w:rPr>
              <w:t>2021</w:t>
            </w:r>
          </w:p>
        </w:tc>
      </w:tr>
      <w:tr w:rsidR="00E170FD" w:rsidRPr="00552AB7" w14:paraId="78311A7F" w14:textId="77777777" w:rsidTr="002E4B29">
        <w:trPr>
          <w:trHeight w:val="232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0FAE3996" w14:textId="77777777" w:rsidR="00E170FD" w:rsidRPr="00552AB7" w:rsidRDefault="00E170FD" w:rsidP="002E4B29">
            <w:pPr>
              <w:spacing w:after="0" w:line="240" w:lineRule="auto"/>
              <w:rPr>
                <w:rFonts w:ascii="Times New Roman" w:eastAsia="Times New Roman" w:hAnsi="Times New Roman" w:cs="Times New Roman"/>
                <w:color w:val="000000"/>
                <w:lang w:eastAsia="bg-BG"/>
              </w:rPr>
            </w:pPr>
          </w:p>
        </w:tc>
        <w:tc>
          <w:tcPr>
            <w:tcW w:w="3444" w:type="dxa"/>
            <w:tcBorders>
              <w:top w:val="nil"/>
              <w:left w:val="nil"/>
              <w:bottom w:val="single" w:sz="4" w:space="0" w:color="auto"/>
              <w:right w:val="single" w:sz="4" w:space="0" w:color="auto"/>
            </w:tcBorders>
            <w:shd w:val="clear" w:color="auto" w:fill="auto"/>
            <w:noWrap/>
            <w:vAlign w:val="center"/>
            <w:hideMark/>
          </w:tcPr>
          <w:p w14:paraId="29E3E0A6" w14:textId="0CC9A1DC" w:rsidR="00475A07" w:rsidRPr="00610788" w:rsidRDefault="00E170FD" w:rsidP="002E4B29">
            <w:pPr>
              <w:spacing w:after="0" w:line="240" w:lineRule="auto"/>
              <w:jc w:val="center"/>
              <w:rPr>
                <w:rFonts w:ascii="Times New Roman" w:eastAsia="Times New Roman" w:hAnsi="Times New Roman" w:cs="Times New Roman"/>
                <w:b/>
                <w:bCs/>
                <w:color w:val="000000"/>
                <w:lang w:eastAsia="bg-BG"/>
              </w:rPr>
            </w:pPr>
            <w:r w:rsidRPr="00610788">
              <w:rPr>
                <w:rFonts w:ascii="Times New Roman" w:eastAsia="Times New Roman" w:hAnsi="Times New Roman" w:cs="Times New Roman"/>
                <w:b/>
                <w:bCs/>
                <w:color w:val="000000"/>
                <w:lang w:eastAsia="bg-BG"/>
              </w:rPr>
              <w:t>Показатели</w:t>
            </w:r>
          </w:p>
          <w:p w14:paraId="2E533A62" w14:textId="77777777" w:rsidR="00E170FD" w:rsidRPr="00610788" w:rsidRDefault="00E170FD" w:rsidP="00F30A94">
            <w:pPr>
              <w:jc w:val="center"/>
              <w:rPr>
                <w:rFonts w:ascii="Times New Roman" w:eastAsia="Times New Roman" w:hAnsi="Times New Roman" w:cs="Times New Roman"/>
                <w:lang w:eastAsia="bg-BG"/>
              </w:rPr>
            </w:pPr>
          </w:p>
        </w:tc>
        <w:tc>
          <w:tcPr>
            <w:tcW w:w="914" w:type="dxa"/>
            <w:tcBorders>
              <w:top w:val="nil"/>
              <w:left w:val="nil"/>
              <w:bottom w:val="single" w:sz="4" w:space="0" w:color="auto"/>
              <w:right w:val="single" w:sz="4" w:space="0" w:color="auto"/>
            </w:tcBorders>
            <w:shd w:val="clear" w:color="auto" w:fill="auto"/>
            <w:noWrap/>
            <w:vAlign w:val="center"/>
            <w:hideMark/>
          </w:tcPr>
          <w:p w14:paraId="262DF9C7" w14:textId="77777777" w:rsidR="00E170FD" w:rsidRPr="00610788"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r w:rsidRPr="00610788">
              <w:rPr>
                <w:rFonts w:ascii="Times New Roman" w:eastAsia="Times New Roman" w:hAnsi="Times New Roman" w:cs="Times New Roman"/>
                <w:b/>
                <w:bCs/>
                <w:color w:val="000000"/>
                <w:sz w:val="18"/>
                <w:szCs w:val="18"/>
                <w:lang w:eastAsia="bg-BG"/>
              </w:rPr>
              <w:t>Мярка</w:t>
            </w:r>
          </w:p>
        </w:tc>
        <w:tc>
          <w:tcPr>
            <w:tcW w:w="1638" w:type="dxa"/>
            <w:tcBorders>
              <w:top w:val="nil"/>
              <w:left w:val="nil"/>
              <w:bottom w:val="single" w:sz="4" w:space="0" w:color="auto"/>
              <w:right w:val="single" w:sz="4" w:space="0" w:color="auto"/>
            </w:tcBorders>
            <w:shd w:val="clear" w:color="auto" w:fill="auto"/>
            <w:vAlign w:val="center"/>
            <w:hideMark/>
          </w:tcPr>
          <w:p w14:paraId="4CD406FB" w14:textId="77777777" w:rsidR="00E170FD" w:rsidRPr="00610788" w:rsidRDefault="00E170FD" w:rsidP="002E4B29">
            <w:pPr>
              <w:spacing w:after="0" w:line="240" w:lineRule="auto"/>
              <w:jc w:val="center"/>
              <w:rPr>
                <w:rFonts w:ascii="Times New Roman" w:eastAsia="Times New Roman" w:hAnsi="Times New Roman" w:cs="Times New Roman"/>
                <w:color w:val="000000"/>
                <w:lang w:eastAsia="bg-BG"/>
              </w:rPr>
            </w:pPr>
            <w:r w:rsidRPr="00610788">
              <w:rPr>
                <w:rFonts w:ascii="Times New Roman" w:eastAsia="Times New Roman" w:hAnsi="Times New Roman" w:cs="Times New Roman"/>
                <w:color w:val="000000"/>
                <w:lang w:eastAsia="bg-BG"/>
              </w:rPr>
              <w:t xml:space="preserve">Решение КЕВР                          № Ц-19/01.07.2019                    Рег. период 2019/2020 </w:t>
            </w:r>
            <w:r w:rsidRPr="00610788">
              <w:rPr>
                <w:rFonts w:ascii="Times New Roman" w:eastAsia="Times New Roman" w:hAnsi="Times New Roman" w:cs="Times New Roman"/>
                <w:b/>
                <w:bCs/>
                <w:color w:val="000000"/>
                <w:lang w:eastAsia="bg-BG"/>
              </w:rPr>
              <w:t xml:space="preserve">01.01.2020 - 30.06.2020 г. </w:t>
            </w:r>
          </w:p>
        </w:tc>
        <w:tc>
          <w:tcPr>
            <w:tcW w:w="1701" w:type="dxa"/>
            <w:tcBorders>
              <w:top w:val="nil"/>
              <w:left w:val="nil"/>
              <w:bottom w:val="single" w:sz="4" w:space="0" w:color="auto"/>
              <w:right w:val="single" w:sz="4" w:space="0" w:color="auto"/>
            </w:tcBorders>
            <w:shd w:val="clear" w:color="auto" w:fill="auto"/>
            <w:vAlign w:val="center"/>
            <w:hideMark/>
          </w:tcPr>
          <w:p w14:paraId="7D1CB428" w14:textId="77777777" w:rsidR="00E170FD" w:rsidRPr="00610788" w:rsidRDefault="00E170FD" w:rsidP="002E4B29">
            <w:pPr>
              <w:spacing w:after="0" w:line="240" w:lineRule="auto"/>
              <w:jc w:val="center"/>
              <w:rPr>
                <w:rFonts w:ascii="Times New Roman" w:eastAsia="Times New Roman" w:hAnsi="Times New Roman" w:cs="Times New Roman"/>
                <w:color w:val="000000"/>
                <w:lang w:eastAsia="bg-BG"/>
              </w:rPr>
            </w:pPr>
            <w:r w:rsidRPr="00610788">
              <w:rPr>
                <w:rFonts w:ascii="Times New Roman" w:eastAsia="Times New Roman" w:hAnsi="Times New Roman" w:cs="Times New Roman"/>
                <w:color w:val="000000"/>
                <w:lang w:eastAsia="bg-BG"/>
              </w:rPr>
              <w:t xml:space="preserve">Решение КЕВР                    № Ц-29/01.07.2020                    Рег. период 2020/2021 </w:t>
            </w:r>
            <w:r w:rsidRPr="00610788">
              <w:rPr>
                <w:rFonts w:ascii="Times New Roman" w:eastAsia="Times New Roman" w:hAnsi="Times New Roman" w:cs="Times New Roman"/>
                <w:b/>
                <w:bCs/>
                <w:color w:val="000000"/>
                <w:lang w:eastAsia="bg-BG"/>
              </w:rPr>
              <w:t>01.07.2020 - 31.12.2020 г.</w:t>
            </w:r>
            <w:r w:rsidRPr="00610788">
              <w:rPr>
                <w:rFonts w:ascii="Times New Roman" w:eastAsia="Times New Roman" w:hAnsi="Times New Roman" w:cs="Times New Roman"/>
                <w:color w:val="000000"/>
                <w:lang w:eastAsia="bg-BG"/>
              </w:rPr>
              <w:t xml:space="preserve"> </w:t>
            </w:r>
          </w:p>
        </w:tc>
        <w:tc>
          <w:tcPr>
            <w:tcW w:w="1661" w:type="dxa"/>
            <w:tcBorders>
              <w:top w:val="nil"/>
              <w:left w:val="nil"/>
              <w:bottom w:val="single" w:sz="4" w:space="0" w:color="auto"/>
              <w:right w:val="single" w:sz="4" w:space="0" w:color="auto"/>
            </w:tcBorders>
            <w:shd w:val="clear" w:color="auto" w:fill="auto"/>
            <w:vAlign w:val="center"/>
            <w:hideMark/>
          </w:tcPr>
          <w:p w14:paraId="51384EBA" w14:textId="77777777" w:rsidR="00E170FD" w:rsidRPr="00610788" w:rsidRDefault="00E170FD" w:rsidP="002E4B29">
            <w:pPr>
              <w:spacing w:after="0" w:line="240" w:lineRule="auto"/>
              <w:jc w:val="center"/>
              <w:rPr>
                <w:rFonts w:ascii="Times New Roman" w:eastAsia="Times New Roman" w:hAnsi="Times New Roman" w:cs="Times New Roman"/>
                <w:color w:val="000000"/>
                <w:lang w:eastAsia="bg-BG"/>
              </w:rPr>
            </w:pPr>
            <w:r w:rsidRPr="00610788">
              <w:rPr>
                <w:rFonts w:ascii="Times New Roman" w:eastAsia="Times New Roman" w:hAnsi="Times New Roman" w:cs="Times New Roman"/>
                <w:color w:val="000000"/>
                <w:lang w:eastAsia="bg-BG"/>
              </w:rPr>
              <w:t xml:space="preserve">Решение КЕВР                                    № Ц-29/01.07.2020                    Рег. период 2020/2021      </w:t>
            </w:r>
            <w:r w:rsidRPr="00610788">
              <w:rPr>
                <w:rFonts w:ascii="Times New Roman" w:eastAsia="Times New Roman" w:hAnsi="Times New Roman" w:cs="Times New Roman"/>
                <w:b/>
                <w:bCs/>
                <w:color w:val="000000"/>
                <w:lang w:eastAsia="bg-BG"/>
              </w:rPr>
              <w:t>01.01.2021 - 30.06.2021 г.</w:t>
            </w:r>
            <w:r w:rsidRPr="00610788">
              <w:rPr>
                <w:rFonts w:ascii="Times New Roman" w:eastAsia="Times New Roman" w:hAnsi="Times New Roman" w:cs="Times New Roman"/>
                <w:color w:val="000000"/>
                <w:lang w:eastAsia="bg-BG"/>
              </w:rPr>
              <w:t xml:space="preserve"> </w:t>
            </w:r>
          </w:p>
        </w:tc>
      </w:tr>
      <w:tr w:rsidR="00E170FD" w:rsidRPr="00552AB7" w14:paraId="55145673" w14:textId="77777777" w:rsidTr="00610788">
        <w:trPr>
          <w:trHeight w:val="9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ED26DAE"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1</w:t>
            </w:r>
          </w:p>
        </w:tc>
        <w:tc>
          <w:tcPr>
            <w:tcW w:w="3444" w:type="dxa"/>
            <w:tcBorders>
              <w:top w:val="nil"/>
              <w:left w:val="nil"/>
              <w:bottom w:val="single" w:sz="4" w:space="0" w:color="auto"/>
              <w:right w:val="single" w:sz="4" w:space="0" w:color="auto"/>
            </w:tcBorders>
            <w:shd w:val="clear" w:color="auto" w:fill="auto"/>
            <w:vAlign w:val="center"/>
            <w:hideMark/>
          </w:tcPr>
          <w:p w14:paraId="39C66349"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Общо нето производство съгласно подадено заявление от "ТЕЦ Марица изток 2" ЕАД и Решение на КЕВР</w:t>
            </w:r>
          </w:p>
        </w:tc>
        <w:tc>
          <w:tcPr>
            <w:tcW w:w="914" w:type="dxa"/>
            <w:tcBorders>
              <w:top w:val="nil"/>
              <w:left w:val="nil"/>
              <w:bottom w:val="single" w:sz="4" w:space="0" w:color="auto"/>
              <w:right w:val="single" w:sz="4" w:space="0" w:color="auto"/>
            </w:tcBorders>
            <w:shd w:val="clear" w:color="auto" w:fill="auto"/>
            <w:noWrap/>
            <w:vAlign w:val="center"/>
            <w:hideMark/>
          </w:tcPr>
          <w:p w14:paraId="0ADBAE68"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proofErr w:type="spellStart"/>
            <w:r w:rsidRPr="00552AB7">
              <w:rPr>
                <w:rFonts w:ascii="Times New Roman" w:eastAsia="Times New Roman" w:hAnsi="Times New Roman" w:cs="Times New Roman"/>
                <w:b/>
                <w:bCs/>
                <w:color w:val="000000"/>
                <w:sz w:val="18"/>
                <w:szCs w:val="18"/>
                <w:lang w:eastAsia="bg-BG"/>
              </w:rPr>
              <w:t>МВтч</w:t>
            </w:r>
            <w:proofErr w:type="spellEnd"/>
          </w:p>
        </w:tc>
        <w:tc>
          <w:tcPr>
            <w:tcW w:w="1638" w:type="dxa"/>
            <w:tcBorders>
              <w:top w:val="nil"/>
              <w:left w:val="nil"/>
              <w:bottom w:val="single" w:sz="4" w:space="0" w:color="auto"/>
              <w:right w:val="single" w:sz="4" w:space="0" w:color="auto"/>
            </w:tcBorders>
            <w:shd w:val="clear" w:color="auto" w:fill="auto"/>
            <w:vAlign w:val="center"/>
          </w:tcPr>
          <w:p w14:paraId="28BE78D1" w14:textId="0A279F20"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auto" w:fill="auto"/>
            <w:vAlign w:val="center"/>
          </w:tcPr>
          <w:p w14:paraId="2E2DA3C6" w14:textId="2D103A63"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auto" w:fill="auto"/>
            <w:vAlign w:val="center"/>
          </w:tcPr>
          <w:p w14:paraId="27F09F19" w14:textId="629CACD0"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77841C3F" w14:textId="77777777" w:rsidTr="00610788">
        <w:trPr>
          <w:trHeight w:val="6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84567DA"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2</w:t>
            </w:r>
          </w:p>
        </w:tc>
        <w:tc>
          <w:tcPr>
            <w:tcW w:w="3444" w:type="dxa"/>
            <w:tcBorders>
              <w:top w:val="nil"/>
              <w:left w:val="nil"/>
              <w:bottom w:val="single" w:sz="4" w:space="0" w:color="auto"/>
              <w:right w:val="single" w:sz="4" w:space="0" w:color="auto"/>
            </w:tcBorders>
            <w:shd w:val="clear" w:color="auto" w:fill="auto"/>
            <w:vAlign w:val="center"/>
            <w:hideMark/>
          </w:tcPr>
          <w:p w14:paraId="69ADC326"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Признати разходи за квоти за емисии СО2 съгласно Решение на КЕВР</w:t>
            </w:r>
          </w:p>
        </w:tc>
        <w:tc>
          <w:tcPr>
            <w:tcW w:w="914" w:type="dxa"/>
            <w:tcBorders>
              <w:top w:val="nil"/>
              <w:left w:val="nil"/>
              <w:bottom w:val="single" w:sz="4" w:space="0" w:color="auto"/>
              <w:right w:val="single" w:sz="4" w:space="0" w:color="auto"/>
            </w:tcBorders>
            <w:shd w:val="clear" w:color="auto" w:fill="auto"/>
            <w:noWrap/>
            <w:vAlign w:val="center"/>
            <w:hideMark/>
          </w:tcPr>
          <w:p w14:paraId="4A248868"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r w:rsidRPr="00552AB7">
              <w:rPr>
                <w:rFonts w:ascii="Times New Roman" w:eastAsia="Times New Roman" w:hAnsi="Times New Roman" w:cs="Times New Roman"/>
                <w:b/>
                <w:bCs/>
                <w:color w:val="000000"/>
                <w:sz w:val="18"/>
                <w:szCs w:val="18"/>
                <w:lang w:eastAsia="bg-BG"/>
              </w:rPr>
              <w:t>хил.</w:t>
            </w:r>
            <w:r>
              <w:rPr>
                <w:rFonts w:ascii="Times New Roman" w:eastAsia="Times New Roman" w:hAnsi="Times New Roman" w:cs="Times New Roman"/>
                <w:b/>
                <w:bCs/>
                <w:color w:val="000000"/>
                <w:sz w:val="18"/>
                <w:szCs w:val="18"/>
                <w:lang w:eastAsia="bg-BG"/>
              </w:rPr>
              <w:t xml:space="preserve"> </w:t>
            </w:r>
            <w:r w:rsidRPr="00552AB7">
              <w:rPr>
                <w:rFonts w:ascii="Times New Roman" w:eastAsia="Times New Roman" w:hAnsi="Times New Roman" w:cs="Times New Roman"/>
                <w:b/>
                <w:bCs/>
                <w:color w:val="000000"/>
                <w:sz w:val="18"/>
                <w:szCs w:val="18"/>
                <w:lang w:eastAsia="bg-BG"/>
              </w:rPr>
              <w:t>лв.</w:t>
            </w:r>
          </w:p>
        </w:tc>
        <w:tc>
          <w:tcPr>
            <w:tcW w:w="1638" w:type="dxa"/>
            <w:tcBorders>
              <w:top w:val="nil"/>
              <w:left w:val="nil"/>
              <w:bottom w:val="single" w:sz="4" w:space="0" w:color="auto"/>
              <w:right w:val="single" w:sz="4" w:space="0" w:color="auto"/>
            </w:tcBorders>
            <w:shd w:val="clear" w:color="auto" w:fill="auto"/>
            <w:vAlign w:val="center"/>
          </w:tcPr>
          <w:p w14:paraId="7691E46E" w14:textId="2F9E95BF"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auto" w:fill="auto"/>
            <w:vAlign w:val="center"/>
          </w:tcPr>
          <w:p w14:paraId="55F54A51" w14:textId="71E38B03"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auto" w:fill="auto"/>
            <w:vAlign w:val="center"/>
          </w:tcPr>
          <w:p w14:paraId="3E30F718" w14:textId="4158EEFF"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2D9844CF" w14:textId="77777777" w:rsidTr="00610788">
        <w:trPr>
          <w:trHeight w:val="6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23C967F"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2.</w:t>
            </w:r>
            <w:r w:rsidRPr="00552AB7">
              <w:rPr>
                <w:rFonts w:ascii="Times New Roman" w:eastAsia="Times New Roman" w:hAnsi="Times New Roman" w:cs="Times New Roman"/>
                <w:b/>
                <w:bCs/>
                <w:color w:val="000000"/>
                <w:lang w:eastAsia="bg-BG"/>
              </w:rPr>
              <w:t>1</w:t>
            </w:r>
          </w:p>
        </w:tc>
        <w:tc>
          <w:tcPr>
            <w:tcW w:w="3444" w:type="dxa"/>
            <w:tcBorders>
              <w:top w:val="nil"/>
              <w:left w:val="nil"/>
              <w:bottom w:val="single" w:sz="4" w:space="0" w:color="auto"/>
              <w:right w:val="single" w:sz="4" w:space="0" w:color="auto"/>
            </w:tcBorders>
            <w:shd w:val="clear" w:color="auto" w:fill="auto"/>
            <w:vAlign w:val="center"/>
            <w:hideMark/>
          </w:tcPr>
          <w:p w14:paraId="0966587D"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Признати разходи за квоти за емисии СО2 съгласно Решение на КЕВР</w:t>
            </w:r>
          </w:p>
        </w:tc>
        <w:tc>
          <w:tcPr>
            <w:tcW w:w="914" w:type="dxa"/>
            <w:tcBorders>
              <w:top w:val="nil"/>
              <w:left w:val="nil"/>
              <w:bottom w:val="single" w:sz="4" w:space="0" w:color="auto"/>
              <w:right w:val="single" w:sz="4" w:space="0" w:color="auto"/>
            </w:tcBorders>
            <w:shd w:val="clear" w:color="auto" w:fill="auto"/>
            <w:noWrap/>
            <w:vAlign w:val="center"/>
            <w:hideMark/>
          </w:tcPr>
          <w:p w14:paraId="365D586D"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r w:rsidRPr="00552AB7">
              <w:rPr>
                <w:rFonts w:ascii="Times New Roman" w:eastAsia="Times New Roman" w:hAnsi="Times New Roman" w:cs="Times New Roman"/>
                <w:b/>
                <w:bCs/>
                <w:color w:val="000000"/>
                <w:sz w:val="18"/>
                <w:szCs w:val="18"/>
                <w:lang w:eastAsia="bg-BG"/>
              </w:rPr>
              <w:t>лв./</w:t>
            </w:r>
            <w:proofErr w:type="spellStart"/>
            <w:r w:rsidRPr="00552AB7">
              <w:rPr>
                <w:rFonts w:ascii="Times New Roman" w:eastAsia="Times New Roman" w:hAnsi="Times New Roman" w:cs="Times New Roman"/>
                <w:b/>
                <w:bCs/>
                <w:color w:val="000000"/>
                <w:sz w:val="18"/>
                <w:szCs w:val="18"/>
                <w:lang w:eastAsia="bg-BG"/>
              </w:rPr>
              <w:t>МВтч</w:t>
            </w:r>
            <w:proofErr w:type="spellEnd"/>
          </w:p>
        </w:tc>
        <w:tc>
          <w:tcPr>
            <w:tcW w:w="1638" w:type="dxa"/>
            <w:tcBorders>
              <w:top w:val="nil"/>
              <w:left w:val="nil"/>
              <w:bottom w:val="single" w:sz="4" w:space="0" w:color="auto"/>
              <w:right w:val="single" w:sz="4" w:space="0" w:color="auto"/>
            </w:tcBorders>
            <w:shd w:val="clear" w:color="auto" w:fill="auto"/>
            <w:vAlign w:val="center"/>
          </w:tcPr>
          <w:p w14:paraId="36161D19" w14:textId="0BD57EB0"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auto" w:fill="auto"/>
            <w:vAlign w:val="center"/>
          </w:tcPr>
          <w:p w14:paraId="09671736" w14:textId="1869D572"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auto" w:fill="auto"/>
            <w:vAlign w:val="center"/>
          </w:tcPr>
          <w:p w14:paraId="52F21EE6" w14:textId="2F2E3009"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6F471D20" w14:textId="77777777" w:rsidTr="00610788">
        <w:trPr>
          <w:trHeight w:val="6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5947837"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3</w:t>
            </w:r>
          </w:p>
        </w:tc>
        <w:tc>
          <w:tcPr>
            <w:tcW w:w="3444" w:type="dxa"/>
            <w:tcBorders>
              <w:top w:val="nil"/>
              <w:left w:val="nil"/>
              <w:bottom w:val="single" w:sz="4" w:space="0" w:color="auto"/>
              <w:right w:val="single" w:sz="4" w:space="0" w:color="auto"/>
            </w:tcBorders>
            <w:shd w:val="clear" w:color="auto" w:fill="auto"/>
            <w:vAlign w:val="bottom"/>
            <w:hideMark/>
          </w:tcPr>
          <w:p w14:paraId="6BD4A69A"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Реално произведена ел.</w:t>
            </w:r>
            <w:r>
              <w:rPr>
                <w:rFonts w:ascii="Times New Roman" w:eastAsia="Times New Roman" w:hAnsi="Times New Roman" w:cs="Times New Roman"/>
                <w:b/>
                <w:bCs/>
                <w:color w:val="000000"/>
                <w:lang w:eastAsia="bg-BG"/>
              </w:rPr>
              <w:t xml:space="preserve"> </w:t>
            </w:r>
            <w:r w:rsidRPr="00552AB7">
              <w:rPr>
                <w:rFonts w:ascii="Times New Roman" w:eastAsia="Times New Roman" w:hAnsi="Times New Roman" w:cs="Times New Roman"/>
                <w:b/>
                <w:bCs/>
                <w:color w:val="000000"/>
                <w:lang w:eastAsia="bg-BG"/>
              </w:rPr>
              <w:t>енергия нето, в т.ч. на регулиран пазар отчет 2020 г.</w:t>
            </w:r>
          </w:p>
        </w:tc>
        <w:tc>
          <w:tcPr>
            <w:tcW w:w="914" w:type="dxa"/>
            <w:tcBorders>
              <w:top w:val="nil"/>
              <w:left w:val="nil"/>
              <w:bottom w:val="single" w:sz="4" w:space="0" w:color="auto"/>
              <w:right w:val="single" w:sz="4" w:space="0" w:color="auto"/>
            </w:tcBorders>
            <w:shd w:val="clear" w:color="auto" w:fill="auto"/>
            <w:noWrap/>
            <w:vAlign w:val="center"/>
            <w:hideMark/>
          </w:tcPr>
          <w:p w14:paraId="58084CDE"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proofErr w:type="spellStart"/>
            <w:r w:rsidRPr="00552AB7">
              <w:rPr>
                <w:rFonts w:ascii="Times New Roman" w:eastAsia="Times New Roman" w:hAnsi="Times New Roman" w:cs="Times New Roman"/>
                <w:b/>
                <w:bCs/>
                <w:color w:val="000000"/>
                <w:sz w:val="18"/>
                <w:szCs w:val="18"/>
                <w:lang w:eastAsia="bg-BG"/>
              </w:rPr>
              <w:t>МВтч</w:t>
            </w:r>
            <w:proofErr w:type="spellEnd"/>
          </w:p>
        </w:tc>
        <w:tc>
          <w:tcPr>
            <w:tcW w:w="1638" w:type="dxa"/>
            <w:tcBorders>
              <w:top w:val="nil"/>
              <w:left w:val="nil"/>
              <w:bottom w:val="single" w:sz="4" w:space="0" w:color="auto"/>
              <w:right w:val="single" w:sz="4" w:space="0" w:color="auto"/>
            </w:tcBorders>
            <w:shd w:val="clear" w:color="auto" w:fill="auto"/>
            <w:vAlign w:val="center"/>
          </w:tcPr>
          <w:p w14:paraId="5179C247" w14:textId="19F596E6"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auto" w:fill="auto"/>
            <w:vAlign w:val="center"/>
          </w:tcPr>
          <w:p w14:paraId="471F11A2" w14:textId="7DAAAFEC"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auto" w:fill="auto"/>
            <w:vAlign w:val="center"/>
          </w:tcPr>
          <w:p w14:paraId="0DF446A7" w14:textId="182BDDAF"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1E0FDAA7" w14:textId="77777777" w:rsidTr="00610788">
        <w:trPr>
          <w:trHeight w:val="6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6355821"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3.</w:t>
            </w:r>
            <w:r w:rsidRPr="00552AB7">
              <w:rPr>
                <w:rFonts w:ascii="Times New Roman" w:eastAsia="Times New Roman" w:hAnsi="Times New Roman" w:cs="Times New Roman"/>
                <w:b/>
                <w:bCs/>
                <w:color w:val="000000"/>
                <w:lang w:eastAsia="bg-BG"/>
              </w:rPr>
              <w:t>1</w:t>
            </w:r>
          </w:p>
        </w:tc>
        <w:tc>
          <w:tcPr>
            <w:tcW w:w="3444" w:type="dxa"/>
            <w:tcBorders>
              <w:top w:val="nil"/>
              <w:left w:val="nil"/>
              <w:bottom w:val="single" w:sz="4" w:space="0" w:color="auto"/>
              <w:right w:val="single" w:sz="4" w:space="0" w:color="auto"/>
            </w:tcBorders>
            <w:shd w:val="clear" w:color="auto" w:fill="auto"/>
            <w:vAlign w:val="bottom"/>
            <w:hideMark/>
          </w:tcPr>
          <w:p w14:paraId="17829513"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Продадена ел.</w:t>
            </w:r>
            <w:r>
              <w:rPr>
                <w:rFonts w:ascii="Times New Roman" w:eastAsia="Times New Roman" w:hAnsi="Times New Roman" w:cs="Times New Roman"/>
                <w:b/>
                <w:bCs/>
                <w:color w:val="000000"/>
                <w:lang w:eastAsia="bg-BG"/>
              </w:rPr>
              <w:t xml:space="preserve"> </w:t>
            </w:r>
            <w:r w:rsidRPr="00552AB7">
              <w:rPr>
                <w:rFonts w:ascii="Times New Roman" w:eastAsia="Times New Roman" w:hAnsi="Times New Roman" w:cs="Times New Roman"/>
                <w:b/>
                <w:bCs/>
                <w:color w:val="000000"/>
                <w:lang w:eastAsia="bg-BG"/>
              </w:rPr>
              <w:t>енергия на НЕК ОД за съответния период</w:t>
            </w:r>
          </w:p>
        </w:tc>
        <w:tc>
          <w:tcPr>
            <w:tcW w:w="914" w:type="dxa"/>
            <w:tcBorders>
              <w:top w:val="nil"/>
              <w:left w:val="nil"/>
              <w:bottom w:val="single" w:sz="4" w:space="0" w:color="auto"/>
              <w:right w:val="single" w:sz="4" w:space="0" w:color="auto"/>
            </w:tcBorders>
            <w:shd w:val="clear" w:color="auto" w:fill="auto"/>
            <w:noWrap/>
            <w:vAlign w:val="center"/>
            <w:hideMark/>
          </w:tcPr>
          <w:p w14:paraId="079DBE64"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proofErr w:type="spellStart"/>
            <w:r w:rsidRPr="00552AB7">
              <w:rPr>
                <w:rFonts w:ascii="Times New Roman" w:eastAsia="Times New Roman" w:hAnsi="Times New Roman" w:cs="Times New Roman"/>
                <w:b/>
                <w:bCs/>
                <w:color w:val="000000"/>
                <w:sz w:val="18"/>
                <w:szCs w:val="18"/>
                <w:lang w:eastAsia="bg-BG"/>
              </w:rPr>
              <w:t>МВтч</w:t>
            </w:r>
            <w:proofErr w:type="spellEnd"/>
          </w:p>
        </w:tc>
        <w:tc>
          <w:tcPr>
            <w:tcW w:w="1638" w:type="dxa"/>
            <w:tcBorders>
              <w:top w:val="nil"/>
              <w:left w:val="nil"/>
              <w:bottom w:val="single" w:sz="4" w:space="0" w:color="auto"/>
              <w:right w:val="single" w:sz="4" w:space="0" w:color="auto"/>
            </w:tcBorders>
            <w:shd w:val="clear" w:color="auto" w:fill="auto"/>
            <w:vAlign w:val="center"/>
          </w:tcPr>
          <w:p w14:paraId="499DB68E" w14:textId="65E43A3E"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auto" w:fill="auto"/>
            <w:vAlign w:val="center"/>
          </w:tcPr>
          <w:p w14:paraId="42713037" w14:textId="7F9B5B26"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auto" w:fill="auto"/>
            <w:vAlign w:val="center"/>
          </w:tcPr>
          <w:p w14:paraId="0B538487" w14:textId="0604BFF6"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5AC3B42C" w14:textId="77777777" w:rsidTr="00610788">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1440791"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4</w:t>
            </w:r>
          </w:p>
        </w:tc>
        <w:tc>
          <w:tcPr>
            <w:tcW w:w="3444" w:type="dxa"/>
            <w:tcBorders>
              <w:top w:val="nil"/>
              <w:left w:val="nil"/>
              <w:bottom w:val="single" w:sz="4" w:space="0" w:color="auto"/>
              <w:right w:val="single" w:sz="4" w:space="0" w:color="auto"/>
            </w:tcBorders>
            <w:shd w:val="clear" w:color="auto" w:fill="auto"/>
            <w:vAlign w:val="bottom"/>
            <w:hideMark/>
          </w:tcPr>
          <w:p w14:paraId="09E329C9"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Разходи за квоти емисии CO2  отчет</w:t>
            </w:r>
          </w:p>
        </w:tc>
        <w:tc>
          <w:tcPr>
            <w:tcW w:w="914" w:type="dxa"/>
            <w:tcBorders>
              <w:top w:val="nil"/>
              <w:left w:val="nil"/>
              <w:bottom w:val="single" w:sz="4" w:space="0" w:color="auto"/>
              <w:right w:val="single" w:sz="4" w:space="0" w:color="auto"/>
            </w:tcBorders>
            <w:shd w:val="clear" w:color="auto" w:fill="auto"/>
            <w:noWrap/>
            <w:vAlign w:val="center"/>
            <w:hideMark/>
          </w:tcPr>
          <w:p w14:paraId="6AC6AAE8"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r w:rsidRPr="00552AB7">
              <w:rPr>
                <w:rFonts w:ascii="Times New Roman" w:eastAsia="Times New Roman" w:hAnsi="Times New Roman" w:cs="Times New Roman"/>
                <w:b/>
                <w:bCs/>
                <w:color w:val="000000"/>
                <w:sz w:val="18"/>
                <w:szCs w:val="18"/>
                <w:lang w:eastAsia="bg-BG"/>
              </w:rPr>
              <w:t>хил.</w:t>
            </w:r>
            <w:r>
              <w:rPr>
                <w:rFonts w:ascii="Times New Roman" w:eastAsia="Times New Roman" w:hAnsi="Times New Roman" w:cs="Times New Roman"/>
                <w:b/>
                <w:bCs/>
                <w:color w:val="000000"/>
                <w:sz w:val="18"/>
                <w:szCs w:val="18"/>
                <w:lang w:eastAsia="bg-BG"/>
              </w:rPr>
              <w:t xml:space="preserve"> </w:t>
            </w:r>
            <w:r w:rsidRPr="00552AB7">
              <w:rPr>
                <w:rFonts w:ascii="Times New Roman" w:eastAsia="Times New Roman" w:hAnsi="Times New Roman" w:cs="Times New Roman"/>
                <w:b/>
                <w:bCs/>
                <w:color w:val="000000"/>
                <w:sz w:val="18"/>
                <w:szCs w:val="18"/>
                <w:lang w:eastAsia="bg-BG"/>
              </w:rPr>
              <w:t>лв.</w:t>
            </w:r>
          </w:p>
        </w:tc>
        <w:tc>
          <w:tcPr>
            <w:tcW w:w="1638" w:type="dxa"/>
            <w:tcBorders>
              <w:top w:val="nil"/>
              <w:left w:val="nil"/>
              <w:bottom w:val="single" w:sz="4" w:space="0" w:color="auto"/>
              <w:right w:val="single" w:sz="4" w:space="0" w:color="auto"/>
            </w:tcBorders>
            <w:shd w:val="clear" w:color="000000" w:fill="FFFFFF"/>
            <w:vAlign w:val="center"/>
          </w:tcPr>
          <w:p w14:paraId="62976A89" w14:textId="7F44FD48"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000000" w:fill="FFFFFF"/>
            <w:vAlign w:val="center"/>
          </w:tcPr>
          <w:p w14:paraId="65DEE51B" w14:textId="14B5A6D9"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000000" w:fill="FFFFFF"/>
            <w:vAlign w:val="center"/>
          </w:tcPr>
          <w:p w14:paraId="330826C2" w14:textId="17CE97B2"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48F8115B" w14:textId="77777777" w:rsidTr="00610788">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0E3D1B4"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5</w:t>
            </w:r>
          </w:p>
        </w:tc>
        <w:tc>
          <w:tcPr>
            <w:tcW w:w="3444" w:type="dxa"/>
            <w:tcBorders>
              <w:top w:val="nil"/>
              <w:left w:val="nil"/>
              <w:bottom w:val="single" w:sz="4" w:space="0" w:color="auto"/>
              <w:right w:val="single" w:sz="4" w:space="0" w:color="auto"/>
            </w:tcBorders>
            <w:shd w:val="clear" w:color="auto" w:fill="auto"/>
            <w:vAlign w:val="bottom"/>
            <w:hideMark/>
          </w:tcPr>
          <w:p w14:paraId="5EF0B86F"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Разходи за квоти емисии CO2  отчет</w:t>
            </w:r>
          </w:p>
        </w:tc>
        <w:tc>
          <w:tcPr>
            <w:tcW w:w="914" w:type="dxa"/>
            <w:tcBorders>
              <w:top w:val="nil"/>
              <w:left w:val="nil"/>
              <w:bottom w:val="single" w:sz="4" w:space="0" w:color="auto"/>
              <w:right w:val="single" w:sz="4" w:space="0" w:color="auto"/>
            </w:tcBorders>
            <w:shd w:val="clear" w:color="auto" w:fill="auto"/>
            <w:noWrap/>
            <w:vAlign w:val="center"/>
            <w:hideMark/>
          </w:tcPr>
          <w:p w14:paraId="53E0768E"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r w:rsidRPr="00552AB7">
              <w:rPr>
                <w:rFonts w:ascii="Times New Roman" w:eastAsia="Times New Roman" w:hAnsi="Times New Roman" w:cs="Times New Roman"/>
                <w:b/>
                <w:bCs/>
                <w:color w:val="000000"/>
                <w:sz w:val="18"/>
                <w:szCs w:val="18"/>
                <w:lang w:eastAsia="bg-BG"/>
              </w:rPr>
              <w:t>лв./</w:t>
            </w:r>
            <w:proofErr w:type="spellStart"/>
            <w:r w:rsidRPr="00552AB7">
              <w:rPr>
                <w:rFonts w:ascii="Times New Roman" w:eastAsia="Times New Roman" w:hAnsi="Times New Roman" w:cs="Times New Roman"/>
                <w:b/>
                <w:bCs/>
                <w:color w:val="000000"/>
                <w:sz w:val="18"/>
                <w:szCs w:val="18"/>
                <w:lang w:eastAsia="bg-BG"/>
              </w:rPr>
              <w:t>МВтч</w:t>
            </w:r>
            <w:proofErr w:type="spellEnd"/>
          </w:p>
        </w:tc>
        <w:tc>
          <w:tcPr>
            <w:tcW w:w="1638" w:type="dxa"/>
            <w:tcBorders>
              <w:top w:val="nil"/>
              <w:left w:val="nil"/>
              <w:bottom w:val="single" w:sz="4" w:space="0" w:color="auto"/>
              <w:right w:val="single" w:sz="4" w:space="0" w:color="auto"/>
            </w:tcBorders>
            <w:shd w:val="clear" w:color="auto" w:fill="auto"/>
            <w:vAlign w:val="center"/>
          </w:tcPr>
          <w:p w14:paraId="65310591" w14:textId="6B9E385D"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auto" w:fill="auto"/>
            <w:vAlign w:val="center"/>
          </w:tcPr>
          <w:p w14:paraId="24AF7FAB" w14:textId="2FE54A89"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auto" w:fill="auto"/>
            <w:vAlign w:val="center"/>
          </w:tcPr>
          <w:p w14:paraId="7BC17D7D" w14:textId="0A694243"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6DDB975E" w14:textId="77777777" w:rsidTr="00610788">
        <w:trPr>
          <w:trHeight w:val="6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FBEAE17"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6</w:t>
            </w:r>
          </w:p>
        </w:tc>
        <w:tc>
          <w:tcPr>
            <w:tcW w:w="3444" w:type="dxa"/>
            <w:tcBorders>
              <w:top w:val="nil"/>
              <w:left w:val="nil"/>
              <w:bottom w:val="single" w:sz="4" w:space="0" w:color="auto"/>
              <w:right w:val="single" w:sz="4" w:space="0" w:color="auto"/>
            </w:tcBorders>
            <w:shd w:val="clear" w:color="auto" w:fill="auto"/>
            <w:vAlign w:val="bottom"/>
            <w:hideMark/>
          </w:tcPr>
          <w:p w14:paraId="0129A6FD"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 xml:space="preserve">Разлика между признати и отчетени разходи за квоти емисии СО2 </w:t>
            </w:r>
          </w:p>
        </w:tc>
        <w:tc>
          <w:tcPr>
            <w:tcW w:w="914" w:type="dxa"/>
            <w:tcBorders>
              <w:top w:val="nil"/>
              <w:left w:val="nil"/>
              <w:bottom w:val="single" w:sz="4" w:space="0" w:color="auto"/>
              <w:right w:val="single" w:sz="4" w:space="0" w:color="auto"/>
            </w:tcBorders>
            <w:shd w:val="clear" w:color="auto" w:fill="auto"/>
            <w:noWrap/>
            <w:vAlign w:val="center"/>
            <w:hideMark/>
          </w:tcPr>
          <w:p w14:paraId="35F7EA7D"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r w:rsidRPr="00552AB7">
              <w:rPr>
                <w:rFonts w:ascii="Times New Roman" w:eastAsia="Times New Roman" w:hAnsi="Times New Roman" w:cs="Times New Roman"/>
                <w:b/>
                <w:bCs/>
                <w:color w:val="000000"/>
                <w:sz w:val="18"/>
                <w:szCs w:val="18"/>
                <w:lang w:eastAsia="bg-BG"/>
              </w:rPr>
              <w:t>лв./</w:t>
            </w:r>
            <w:proofErr w:type="spellStart"/>
            <w:r w:rsidRPr="00552AB7">
              <w:rPr>
                <w:rFonts w:ascii="Times New Roman" w:eastAsia="Times New Roman" w:hAnsi="Times New Roman" w:cs="Times New Roman"/>
                <w:b/>
                <w:bCs/>
                <w:color w:val="000000"/>
                <w:sz w:val="18"/>
                <w:szCs w:val="18"/>
                <w:lang w:eastAsia="bg-BG"/>
              </w:rPr>
              <w:t>МВтч</w:t>
            </w:r>
            <w:proofErr w:type="spellEnd"/>
          </w:p>
        </w:tc>
        <w:tc>
          <w:tcPr>
            <w:tcW w:w="1638" w:type="dxa"/>
            <w:tcBorders>
              <w:top w:val="nil"/>
              <w:left w:val="nil"/>
              <w:bottom w:val="single" w:sz="4" w:space="0" w:color="auto"/>
              <w:right w:val="single" w:sz="4" w:space="0" w:color="auto"/>
            </w:tcBorders>
            <w:shd w:val="clear" w:color="auto" w:fill="auto"/>
            <w:vAlign w:val="center"/>
          </w:tcPr>
          <w:p w14:paraId="02EB8832" w14:textId="031FCBAD"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auto" w:fill="auto"/>
            <w:vAlign w:val="center"/>
          </w:tcPr>
          <w:p w14:paraId="20D48962" w14:textId="75D55C53"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auto" w:fill="auto"/>
            <w:vAlign w:val="center"/>
          </w:tcPr>
          <w:p w14:paraId="14A73652" w14:textId="1543CA01"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0013EC48" w14:textId="77777777" w:rsidTr="00610788">
        <w:trPr>
          <w:trHeight w:val="6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C4AD81A"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7</w:t>
            </w:r>
          </w:p>
        </w:tc>
        <w:tc>
          <w:tcPr>
            <w:tcW w:w="3444" w:type="dxa"/>
            <w:tcBorders>
              <w:top w:val="nil"/>
              <w:left w:val="nil"/>
              <w:bottom w:val="single" w:sz="4" w:space="0" w:color="auto"/>
              <w:right w:val="single" w:sz="4" w:space="0" w:color="auto"/>
            </w:tcBorders>
            <w:shd w:val="clear" w:color="auto" w:fill="auto"/>
            <w:vAlign w:val="bottom"/>
            <w:hideMark/>
          </w:tcPr>
          <w:p w14:paraId="7E512719"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 xml:space="preserve">Разлика между признати и отчетени разходи за квоти емисии СО2 </w:t>
            </w:r>
          </w:p>
        </w:tc>
        <w:tc>
          <w:tcPr>
            <w:tcW w:w="914" w:type="dxa"/>
            <w:tcBorders>
              <w:top w:val="nil"/>
              <w:left w:val="nil"/>
              <w:bottom w:val="single" w:sz="4" w:space="0" w:color="auto"/>
              <w:right w:val="single" w:sz="4" w:space="0" w:color="auto"/>
            </w:tcBorders>
            <w:shd w:val="clear" w:color="auto" w:fill="auto"/>
            <w:noWrap/>
            <w:vAlign w:val="center"/>
            <w:hideMark/>
          </w:tcPr>
          <w:p w14:paraId="0A55D921"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r w:rsidRPr="00552AB7">
              <w:rPr>
                <w:rFonts w:ascii="Times New Roman" w:eastAsia="Times New Roman" w:hAnsi="Times New Roman" w:cs="Times New Roman"/>
                <w:b/>
                <w:bCs/>
                <w:color w:val="000000"/>
                <w:sz w:val="18"/>
                <w:szCs w:val="18"/>
                <w:lang w:eastAsia="bg-BG"/>
              </w:rPr>
              <w:t>хил.</w:t>
            </w:r>
            <w:r>
              <w:rPr>
                <w:rFonts w:ascii="Times New Roman" w:eastAsia="Times New Roman" w:hAnsi="Times New Roman" w:cs="Times New Roman"/>
                <w:b/>
                <w:bCs/>
                <w:color w:val="000000"/>
                <w:sz w:val="18"/>
                <w:szCs w:val="18"/>
                <w:lang w:eastAsia="bg-BG"/>
              </w:rPr>
              <w:t xml:space="preserve"> </w:t>
            </w:r>
            <w:r w:rsidRPr="00552AB7">
              <w:rPr>
                <w:rFonts w:ascii="Times New Roman" w:eastAsia="Times New Roman" w:hAnsi="Times New Roman" w:cs="Times New Roman"/>
                <w:b/>
                <w:bCs/>
                <w:color w:val="000000"/>
                <w:sz w:val="18"/>
                <w:szCs w:val="18"/>
                <w:lang w:eastAsia="bg-BG"/>
              </w:rPr>
              <w:t>лв.</w:t>
            </w:r>
          </w:p>
        </w:tc>
        <w:tc>
          <w:tcPr>
            <w:tcW w:w="1638" w:type="dxa"/>
            <w:tcBorders>
              <w:top w:val="nil"/>
              <w:left w:val="nil"/>
              <w:bottom w:val="single" w:sz="4" w:space="0" w:color="auto"/>
              <w:right w:val="single" w:sz="4" w:space="0" w:color="auto"/>
            </w:tcBorders>
            <w:shd w:val="clear" w:color="auto" w:fill="auto"/>
            <w:vAlign w:val="center"/>
          </w:tcPr>
          <w:p w14:paraId="1A7781F6" w14:textId="64A9377E"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701" w:type="dxa"/>
            <w:tcBorders>
              <w:top w:val="nil"/>
              <w:left w:val="nil"/>
              <w:bottom w:val="single" w:sz="4" w:space="0" w:color="auto"/>
              <w:right w:val="single" w:sz="4" w:space="0" w:color="auto"/>
            </w:tcBorders>
            <w:shd w:val="clear" w:color="auto" w:fill="auto"/>
            <w:vAlign w:val="center"/>
          </w:tcPr>
          <w:p w14:paraId="75C16BF7" w14:textId="4AC2C04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c>
          <w:tcPr>
            <w:tcW w:w="1661" w:type="dxa"/>
            <w:tcBorders>
              <w:top w:val="nil"/>
              <w:left w:val="nil"/>
              <w:bottom w:val="single" w:sz="4" w:space="0" w:color="auto"/>
              <w:right w:val="single" w:sz="4" w:space="0" w:color="auto"/>
            </w:tcBorders>
            <w:shd w:val="clear" w:color="auto" w:fill="auto"/>
            <w:vAlign w:val="center"/>
          </w:tcPr>
          <w:p w14:paraId="1857EC60" w14:textId="2C57460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p>
        </w:tc>
      </w:tr>
      <w:tr w:rsidR="00E170FD" w:rsidRPr="00552AB7" w14:paraId="2D326290" w14:textId="77777777" w:rsidTr="002E4B29">
        <w:trPr>
          <w:trHeight w:val="6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75C2BA0" w14:textId="77777777" w:rsidR="00E170FD" w:rsidRPr="00552AB7" w:rsidRDefault="00E170FD" w:rsidP="002E4B29">
            <w:pPr>
              <w:spacing w:after="0" w:line="240" w:lineRule="auto"/>
              <w:jc w:val="center"/>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lastRenderedPageBreak/>
              <w:t>8</w:t>
            </w:r>
          </w:p>
        </w:tc>
        <w:tc>
          <w:tcPr>
            <w:tcW w:w="3444" w:type="dxa"/>
            <w:tcBorders>
              <w:top w:val="nil"/>
              <w:left w:val="nil"/>
              <w:bottom w:val="single" w:sz="4" w:space="0" w:color="auto"/>
              <w:right w:val="single" w:sz="4" w:space="0" w:color="auto"/>
            </w:tcBorders>
            <w:shd w:val="clear" w:color="auto" w:fill="auto"/>
            <w:vAlign w:val="bottom"/>
            <w:hideMark/>
          </w:tcPr>
          <w:p w14:paraId="460245B5" w14:textId="77777777" w:rsidR="00E170FD" w:rsidRPr="00552AB7" w:rsidRDefault="00E170FD" w:rsidP="002E4B29">
            <w:pPr>
              <w:spacing w:after="0" w:line="240" w:lineRule="auto"/>
              <w:rPr>
                <w:rFonts w:ascii="Times New Roman" w:eastAsia="Times New Roman" w:hAnsi="Times New Roman" w:cs="Times New Roman"/>
                <w:b/>
                <w:bCs/>
                <w:color w:val="000000"/>
                <w:lang w:eastAsia="bg-BG"/>
              </w:rPr>
            </w:pPr>
            <w:r w:rsidRPr="00552AB7">
              <w:rPr>
                <w:rFonts w:ascii="Times New Roman" w:eastAsia="Times New Roman" w:hAnsi="Times New Roman" w:cs="Times New Roman"/>
                <w:b/>
                <w:bCs/>
                <w:color w:val="000000"/>
                <w:lang w:eastAsia="bg-BG"/>
              </w:rPr>
              <w:t>Общ размер на компенсация за разходите квоти емисии CO2</w:t>
            </w:r>
          </w:p>
        </w:tc>
        <w:tc>
          <w:tcPr>
            <w:tcW w:w="914" w:type="dxa"/>
            <w:tcBorders>
              <w:top w:val="nil"/>
              <w:left w:val="nil"/>
              <w:bottom w:val="single" w:sz="4" w:space="0" w:color="auto"/>
              <w:right w:val="single" w:sz="4" w:space="0" w:color="auto"/>
            </w:tcBorders>
            <w:shd w:val="clear" w:color="auto" w:fill="auto"/>
            <w:noWrap/>
            <w:vAlign w:val="center"/>
            <w:hideMark/>
          </w:tcPr>
          <w:p w14:paraId="60391B2B" w14:textId="77777777" w:rsidR="00E170FD" w:rsidRPr="00552AB7" w:rsidRDefault="00E170FD" w:rsidP="002E4B29">
            <w:pPr>
              <w:spacing w:after="0" w:line="240" w:lineRule="auto"/>
              <w:jc w:val="center"/>
              <w:rPr>
                <w:rFonts w:ascii="Times New Roman" w:eastAsia="Times New Roman" w:hAnsi="Times New Roman" w:cs="Times New Roman"/>
                <w:b/>
                <w:bCs/>
                <w:color w:val="000000"/>
                <w:sz w:val="18"/>
                <w:szCs w:val="18"/>
                <w:lang w:eastAsia="bg-BG"/>
              </w:rPr>
            </w:pPr>
            <w:r w:rsidRPr="00552AB7">
              <w:rPr>
                <w:rFonts w:ascii="Times New Roman" w:eastAsia="Times New Roman" w:hAnsi="Times New Roman" w:cs="Times New Roman"/>
                <w:b/>
                <w:bCs/>
                <w:color w:val="000000"/>
                <w:sz w:val="18"/>
                <w:szCs w:val="18"/>
                <w:lang w:eastAsia="bg-BG"/>
              </w:rPr>
              <w:t>хил.</w:t>
            </w:r>
            <w:r>
              <w:rPr>
                <w:rFonts w:ascii="Times New Roman" w:eastAsia="Times New Roman" w:hAnsi="Times New Roman" w:cs="Times New Roman"/>
                <w:b/>
                <w:bCs/>
                <w:color w:val="000000"/>
                <w:sz w:val="18"/>
                <w:szCs w:val="18"/>
                <w:lang w:eastAsia="bg-BG"/>
              </w:rPr>
              <w:t xml:space="preserve"> </w:t>
            </w:r>
            <w:r w:rsidRPr="00552AB7">
              <w:rPr>
                <w:rFonts w:ascii="Times New Roman" w:eastAsia="Times New Roman" w:hAnsi="Times New Roman" w:cs="Times New Roman"/>
                <w:b/>
                <w:bCs/>
                <w:color w:val="000000"/>
                <w:sz w:val="18"/>
                <w:szCs w:val="18"/>
                <w:lang w:eastAsia="bg-BG"/>
              </w:rPr>
              <w:t>лв.</w:t>
            </w:r>
          </w:p>
        </w:tc>
        <w:tc>
          <w:tcPr>
            <w:tcW w:w="5000" w:type="dxa"/>
            <w:gridSpan w:val="3"/>
            <w:tcBorders>
              <w:top w:val="single" w:sz="4" w:space="0" w:color="auto"/>
              <w:left w:val="nil"/>
              <w:bottom w:val="single" w:sz="4" w:space="0" w:color="auto"/>
              <w:right w:val="single" w:sz="4" w:space="0" w:color="auto"/>
            </w:tcBorders>
            <w:shd w:val="clear" w:color="auto" w:fill="auto"/>
            <w:vAlign w:val="center"/>
            <w:hideMark/>
          </w:tcPr>
          <w:p w14:paraId="09D43643" w14:textId="2B26330A" w:rsidR="00E170FD" w:rsidRPr="00552AB7" w:rsidRDefault="00E170FD" w:rsidP="002E4B29">
            <w:pPr>
              <w:spacing w:after="0" w:line="240" w:lineRule="auto"/>
              <w:jc w:val="center"/>
              <w:rPr>
                <w:rFonts w:ascii="Times New Roman" w:eastAsia="Times New Roman" w:hAnsi="Times New Roman" w:cs="Times New Roman"/>
                <w:b/>
                <w:bCs/>
                <w:color w:val="000000"/>
                <w:sz w:val="28"/>
                <w:szCs w:val="28"/>
                <w:lang w:eastAsia="bg-BG"/>
              </w:rPr>
            </w:pPr>
            <w:r w:rsidRPr="00552AB7">
              <w:rPr>
                <w:rFonts w:ascii="Times New Roman" w:eastAsia="Times New Roman" w:hAnsi="Times New Roman" w:cs="Times New Roman"/>
                <w:b/>
                <w:bCs/>
                <w:color w:val="000000"/>
                <w:sz w:val="28"/>
                <w:szCs w:val="28"/>
                <w:lang w:eastAsia="bg-BG"/>
              </w:rPr>
              <w:t xml:space="preserve">                                          </w:t>
            </w:r>
          </w:p>
        </w:tc>
      </w:tr>
    </w:tbl>
    <w:p w14:paraId="00FBE6F6" w14:textId="77777777" w:rsidR="00E170FD" w:rsidRDefault="00E170FD" w:rsidP="00E170FD">
      <w:pPr>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end"/>
      </w:r>
    </w:p>
    <w:p w14:paraId="5AD82B21" w14:textId="7380DED2" w:rsidR="00E170FD" w:rsidRDefault="00613D5D" w:rsidP="0031208D">
      <w:p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170FD">
        <w:rPr>
          <w:rFonts w:ascii="Times New Roman" w:eastAsia="Calibri" w:hAnsi="Times New Roman" w:cs="Times New Roman"/>
          <w:sz w:val="24"/>
          <w:szCs w:val="24"/>
        </w:rPr>
        <w:t xml:space="preserve">, в изпълнение на определените от КЕВР квоти, съгласно цитираните по-горе заповеди на министъра на енергетиката. </w:t>
      </w:r>
    </w:p>
    <w:p w14:paraId="31FB80EF" w14:textId="08F80749" w:rsidR="00E170FD" w:rsidRDefault="00E170FD" w:rsidP="0031208D">
      <w:p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Произведената електроенергия от централата през 2020 г. възлиза на </w:t>
      </w:r>
      <w:r w:rsidR="00EC6894">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МВтч</w:t>
      </w:r>
      <w:proofErr w:type="spellEnd"/>
      <w:r>
        <w:rPr>
          <w:rFonts w:ascii="Times New Roman" w:eastAsia="Calibri" w:hAnsi="Times New Roman" w:cs="Times New Roman"/>
          <w:sz w:val="24"/>
          <w:szCs w:val="24"/>
        </w:rPr>
        <w:t xml:space="preserve"> и представлява </w:t>
      </w:r>
      <w:r w:rsidR="00EC6894">
        <w:rPr>
          <w:rFonts w:ascii="Times New Roman" w:eastAsia="Calibri" w:hAnsi="Times New Roman" w:cs="Times New Roman"/>
          <w:sz w:val="24"/>
          <w:szCs w:val="24"/>
        </w:rPr>
        <w:t>………</w:t>
      </w:r>
      <w:r>
        <w:rPr>
          <w:rFonts w:ascii="Times New Roman" w:eastAsia="Calibri" w:hAnsi="Times New Roman" w:cs="Times New Roman"/>
          <w:sz w:val="24"/>
          <w:szCs w:val="24"/>
        </w:rPr>
        <w:t xml:space="preserve">% от прогнозната нетна електрическа енергия, използвана от КЕВР при изчисляване на </w:t>
      </w:r>
      <w:proofErr w:type="spellStart"/>
      <w:r>
        <w:rPr>
          <w:rFonts w:ascii="Times New Roman" w:eastAsia="Calibri" w:hAnsi="Times New Roman" w:cs="Times New Roman"/>
          <w:sz w:val="24"/>
          <w:szCs w:val="24"/>
        </w:rPr>
        <w:t>еднокомпонентната</w:t>
      </w:r>
      <w:proofErr w:type="spellEnd"/>
      <w:r>
        <w:rPr>
          <w:rFonts w:ascii="Times New Roman" w:eastAsia="Calibri" w:hAnsi="Times New Roman" w:cs="Times New Roman"/>
          <w:sz w:val="24"/>
          <w:szCs w:val="24"/>
        </w:rPr>
        <w:t xml:space="preserve"> цена за съответния ценови период, т.е. базата за изчисляване на променливите разходи, в т.ч. и на разходите за квоти за емисии СО2 (видно от данните в таблицата по-горе). </w:t>
      </w:r>
    </w:p>
    <w:p w14:paraId="188E1E01" w14:textId="2E3C4181" w:rsidR="00E170FD" w:rsidRDefault="00E170FD" w:rsidP="0031208D">
      <w:pPr>
        <w:spacing w:after="12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резултат на извършените изчисления за прогнозните и действително отчетени разходи за емисии през 2020 г., допълнителните разходи, свързани с наложени задължения към обществото по чл. 35 от ЗЕ възлизат на </w:t>
      </w:r>
      <w:r w:rsidR="00EC6894">
        <w:rPr>
          <w:rFonts w:ascii="Times New Roman" w:eastAsia="Calibri" w:hAnsi="Times New Roman" w:cs="Times New Roman"/>
          <w:b/>
          <w:sz w:val="24"/>
          <w:szCs w:val="24"/>
        </w:rPr>
        <w:t>…………..</w:t>
      </w:r>
      <w:r w:rsidRPr="00CD0646">
        <w:rPr>
          <w:rFonts w:ascii="Times New Roman" w:eastAsia="Calibri" w:hAnsi="Times New Roman" w:cs="Times New Roman"/>
          <w:b/>
          <w:sz w:val="24"/>
          <w:szCs w:val="24"/>
        </w:rPr>
        <w:t xml:space="preserve"> хил.</w:t>
      </w:r>
      <w:r>
        <w:rPr>
          <w:rFonts w:ascii="Times New Roman" w:eastAsia="Calibri" w:hAnsi="Times New Roman" w:cs="Times New Roman"/>
          <w:b/>
          <w:sz w:val="24"/>
          <w:szCs w:val="24"/>
        </w:rPr>
        <w:t xml:space="preserve"> </w:t>
      </w:r>
      <w:r w:rsidRPr="00CD0646">
        <w:rPr>
          <w:rFonts w:ascii="Times New Roman" w:eastAsia="Calibri" w:hAnsi="Times New Roman" w:cs="Times New Roman"/>
          <w:b/>
          <w:sz w:val="24"/>
          <w:szCs w:val="24"/>
        </w:rPr>
        <w:t>лв.</w:t>
      </w:r>
    </w:p>
    <w:p w14:paraId="0BD11F63" w14:textId="707C7110" w:rsidR="00B90023" w:rsidRDefault="00B90023">
      <w:pPr>
        <w:shd w:val="clear" w:color="auto" w:fill="FFFFFF" w:themeFill="background1"/>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Компенсация за по-малкия размер платени суми в съответствие с чл.8 </w:t>
      </w:r>
      <w:r>
        <w:rPr>
          <w:rFonts w:ascii="Times New Roman" w:eastAsia="Times New Roman" w:hAnsi="Times New Roman" w:cs="Times New Roman"/>
          <w:sz w:val="24"/>
          <w:szCs w:val="24"/>
          <w:lang w:val="en-US" w:eastAsia="bg-BG"/>
        </w:rPr>
        <w:t xml:space="preserve">(4) </w:t>
      </w:r>
      <w:r>
        <w:rPr>
          <w:rFonts w:ascii="Times New Roman" w:eastAsia="Times New Roman" w:hAnsi="Times New Roman" w:cs="Times New Roman"/>
          <w:sz w:val="24"/>
          <w:szCs w:val="24"/>
          <w:lang w:eastAsia="bg-BG"/>
        </w:rPr>
        <w:t xml:space="preserve">от Споразумение № 20ИД-Х19А048/17020/23.07.2020 г. и издадени кредитни известия към „НЕК“ ЕАД, като към настоящия момент сме издали кредитни известия, приложени в документацията на стойност 4 750,87 лева, а до края на регулаторния период сумата възлиза на  </w:t>
      </w:r>
      <w:r w:rsidRPr="00B90023">
        <w:rPr>
          <w:rFonts w:ascii="Times New Roman" w:eastAsia="Times New Roman" w:hAnsi="Times New Roman" w:cs="Times New Roman"/>
          <w:b/>
          <w:sz w:val="24"/>
          <w:szCs w:val="24"/>
          <w:lang w:eastAsia="bg-BG"/>
        </w:rPr>
        <w:t xml:space="preserve">7 </w:t>
      </w:r>
      <w:proofErr w:type="spellStart"/>
      <w:r w:rsidRPr="00B90023">
        <w:rPr>
          <w:rFonts w:ascii="Times New Roman" w:eastAsia="Times New Roman" w:hAnsi="Times New Roman" w:cs="Times New Roman"/>
          <w:b/>
          <w:sz w:val="24"/>
          <w:szCs w:val="24"/>
          <w:lang w:eastAsia="bg-BG"/>
        </w:rPr>
        <w:t>хил.лв</w:t>
      </w:r>
      <w:proofErr w:type="spellEnd"/>
      <w:r w:rsidRPr="00B90023">
        <w:rPr>
          <w:rFonts w:ascii="Times New Roman" w:eastAsia="Times New Roman" w:hAnsi="Times New Roman" w:cs="Times New Roman"/>
          <w:b/>
          <w:sz w:val="24"/>
          <w:szCs w:val="24"/>
          <w:lang w:eastAsia="bg-BG"/>
        </w:rPr>
        <w:t>.,</w:t>
      </w:r>
      <w:r>
        <w:rPr>
          <w:rFonts w:ascii="Times New Roman" w:eastAsia="Times New Roman" w:hAnsi="Times New Roman" w:cs="Times New Roman"/>
          <w:sz w:val="24"/>
          <w:szCs w:val="24"/>
          <w:lang w:eastAsia="bg-BG"/>
        </w:rPr>
        <w:t xml:space="preserve"> като следва да бъде призната като компенсация.</w:t>
      </w:r>
    </w:p>
    <w:p w14:paraId="35A6CDA1" w14:textId="58A9BE5D" w:rsidR="00CA022C" w:rsidRDefault="00CA022C">
      <w:pPr>
        <w:spacing w:after="120" w:line="240" w:lineRule="auto"/>
        <w:jc w:val="both"/>
        <w:rPr>
          <w:rFonts w:ascii="Times New Roman" w:hAnsi="Times New Roman" w:cs="Times New Roman"/>
          <w:sz w:val="24"/>
          <w:szCs w:val="24"/>
        </w:rPr>
      </w:pPr>
      <w:r w:rsidRPr="00E30AC6">
        <w:rPr>
          <w:rFonts w:ascii="Times New Roman" w:eastAsia="Times New Roman" w:hAnsi="Times New Roman" w:cs="Times New Roman"/>
          <w:sz w:val="24"/>
          <w:szCs w:val="24"/>
          <w:lang w:eastAsia="bg-BG"/>
        </w:rPr>
        <w:t xml:space="preserve">На 22.01.2021 г. настъпва авария при извършване на </w:t>
      </w:r>
      <w:r w:rsidRPr="003F5611">
        <w:rPr>
          <w:rFonts w:ascii="Times New Roman" w:hAnsi="Times New Roman" w:cs="Times New Roman"/>
          <w:sz w:val="24"/>
          <w:szCs w:val="24"/>
        </w:rPr>
        <w:t xml:space="preserve">технологична операция и задействане автоматичната защита на блок 5 на </w:t>
      </w:r>
      <w:proofErr w:type="spellStart"/>
      <w:r w:rsidRPr="003F5611">
        <w:rPr>
          <w:rFonts w:ascii="Times New Roman" w:hAnsi="Times New Roman" w:cs="Times New Roman"/>
          <w:sz w:val="24"/>
          <w:szCs w:val="24"/>
        </w:rPr>
        <w:t>АЕЦ“Козлодуй</w:t>
      </w:r>
      <w:proofErr w:type="spellEnd"/>
      <w:r w:rsidRPr="003F5611">
        <w:rPr>
          <w:rFonts w:ascii="Times New Roman" w:hAnsi="Times New Roman" w:cs="Times New Roman"/>
          <w:sz w:val="24"/>
          <w:szCs w:val="24"/>
        </w:rPr>
        <w:t xml:space="preserve">“ ЕАД </w:t>
      </w:r>
      <w:r>
        <w:rPr>
          <w:rFonts w:ascii="Times New Roman" w:hAnsi="Times New Roman" w:cs="Times New Roman"/>
          <w:sz w:val="24"/>
          <w:szCs w:val="24"/>
        </w:rPr>
        <w:t>при което се нал</w:t>
      </w:r>
      <w:r w:rsidR="00E41EF9">
        <w:rPr>
          <w:rFonts w:ascii="Times New Roman" w:hAnsi="Times New Roman" w:cs="Times New Roman"/>
          <w:sz w:val="24"/>
          <w:szCs w:val="24"/>
        </w:rPr>
        <w:t>ожи</w:t>
      </w:r>
      <w:r>
        <w:rPr>
          <w:rFonts w:ascii="Times New Roman" w:hAnsi="Times New Roman" w:cs="Times New Roman"/>
          <w:sz w:val="24"/>
          <w:szCs w:val="24"/>
        </w:rPr>
        <w:t xml:space="preserve"> да бъд</w:t>
      </w:r>
      <w:r w:rsidR="00402FF8">
        <w:rPr>
          <w:rFonts w:ascii="Times New Roman" w:hAnsi="Times New Roman" w:cs="Times New Roman"/>
          <w:sz w:val="24"/>
          <w:szCs w:val="24"/>
        </w:rPr>
        <w:t>ат</w:t>
      </w:r>
      <w:r>
        <w:rPr>
          <w:rFonts w:ascii="Times New Roman" w:hAnsi="Times New Roman" w:cs="Times New Roman"/>
          <w:sz w:val="24"/>
          <w:szCs w:val="24"/>
        </w:rPr>
        <w:t xml:space="preserve"> активиран</w:t>
      </w:r>
      <w:r w:rsidR="00402FF8">
        <w:rPr>
          <w:rFonts w:ascii="Times New Roman" w:hAnsi="Times New Roman" w:cs="Times New Roman"/>
          <w:sz w:val="24"/>
          <w:szCs w:val="24"/>
        </w:rPr>
        <w:t>и</w:t>
      </w:r>
      <w:r>
        <w:rPr>
          <w:rFonts w:ascii="Times New Roman" w:hAnsi="Times New Roman" w:cs="Times New Roman"/>
          <w:sz w:val="24"/>
          <w:szCs w:val="24"/>
        </w:rPr>
        <w:t xml:space="preserve"> </w:t>
      </w:r>
      <w:r w:rsidR="00E41EF9">
        <w:rPr>
          <w:rFonts w:ascii="Times New Roman" w:hAnsi="Times New Roman" w:cs="Times New Roman"/>
          <w:sz w:val="24"/>
          <w:szCs w:val="24"/>
        </w:rPr>
        <w:t xml:space="preserve"> </w:t>
      </w:r>
      <w:r w:rsidR="00D154B3" w:rsidRPr="00D154B3">
        <w:rPr>
          <w:rFonts w:ascii="Times New Roman" w:hAnsi="Times New Roman" w:cs="Times New Roman"/>
          <w:bCs/>
          <w:sz w:val="24"/>
          <w:szCs w:val="24"/>
        </w:rPr>
        <w:t>блок 5 за времето от 10,52 часа до 24,00 часа и блок 6 за времето от 10,11 часа до 24,00 часа</w:t>
      </w:r>
      <w:r>
        <w:rPr>
          <w:rFonts w:ascii="Times New Roman" w:hAnsi="Times New Roman" w:cs="Times New Roman"/>
          <w:sz w:val="24"/>
          <w:szCs w:val="24"/>
        </w:rPr>
        <w:t xml:space="preserve">  от „ТЕЦ Марица изток 2“ ЕАД за гарантиране сигурността на енергийните доставки в национален мащаб, като Дружеството няма подписан договор с „ЕСО“ ЕАД и не е платена </w:t>
      </w:r>
      <w:proofErr w:type="spellStart"/>
      <w:r>
        <w:rPr>
          <w:rFonts w:ascii="Times New Roman" w:hAnsi="Times New Roman" w:cs="Times New Roman"/>
          <w:sz w:val="24"/>
          <w:szCs w:val="24"/>
        </w:rPr>
        <w:t>разполагаемост</w:t>
      </w:r>
      <w:proofErr w:type="spellEnd"/>
      <w:r>
        <w:rPr>
          <w:rFonts w:ascii="Times New Roman" w:hAnsi="Times New Roman" w:cs="Times New Roman"/>
          <w:sz w:val="24"/>
          <w:szCs w:val="24"/>
        </w:rPr>
        <w:t xml:space="preserve"> за студен резерв. </w:t>
      </w:r>
      <w:r w:rsidR="00402FF8">
        <w:rPr>
          <w:rFonts w:ascii="Times New Roman" w:hAnsi="Times New Roman" w:cs="Times New Roman"/>
          <w:b/>
          <w:bCs/>
          <w:sz w:val="24"/>
          <w:szCs w:val="24"/>
        </w:rPr>
        <w:t>Ел. енергията, предоставена на „ЕСО“ ЕАД е заплатена по цена за регулиране нагоре, като р</w:t>
      </w:r>
      <w:r w:rsidR="00402FF8" w:rsidRPr="00EC182F">
        <w:rPr>
          <w:rFonts w:ascii="Times New Roman" w:hAnsi="Times New Roman" w:cs="Times New Roman"/>
          <w:b/>
          <w:bCs/>
          <w:sz w:val="24"/>
          <w:szCs w:val="24"/>
        </w:rPr>
        <w:t>азходите за пуск</w:t>
      </w:r>
      <w:r w:rsidR="00402FF8">
        <w:rPr>
          <w:rFonts w:ascii="Times New Roman" w:hAnsi="Times New Roman" w:cs="Times New Roman"/>
          <w:b/>
          <w:bCs/>
          <w:sz w:val="24"/>
          <w:szCs w:val="24"/>
        </w:rPr>
        <w:t xml:space="preserve"> и последващо спиране на енергоблоковете, които</w:t>
      </w:r>
      <w:r w:rsidR="00402FF8" w:rsidRPr="00EC182F">
        <w:rPr>
          <w:rFonts w:ascii="Times New Roman" w:hAnsi="Times New Roman" w:cs="Times New Roman"/>
          <w:b/>
          <w:bCs/>
          <w:sz w:val="24"/>
          <w:szCs w:val="24"/>
        </w:rPr>
        <w:t xml:space="preserve"> са извънредни разходи над обичайните за производство на </w:t>
      </w:r>
      <w:proofErr w:type="spellStart"/>
      <w:r w:rsidR="00402FF8" w:rsidRPr="00EC182F">
        <w:rPr>
          <w:rFonts w:ascii="Times New Roman" w:hAnsi="Times New Roman" w:cs="Times New Roman"/>
          <w:b/>
          <w:bCs/>
          <w:sz w:val="24"/>
          <w:szCs w:val="24"/>
        </w:rPr>
        <w:t>ел.енергия</w:t>
      </w:r>
      <w:proofErr w:type="spellEnd"/>
      <w:r w:rsidR="00402FF8">
        <w:rPr>
          <w:rFonts w:ascii="Times New Roman" w:hAnsi="Times New Roman" w:cs="Times New Roman"/>
          <w:b/>
          <w:bCs/>
          <w:sz w:val="24"/>
          <w:szCs w:val="24"/>
        </w:rPr>
        <w:t xml:space="preserve">, </w:t>
      </w:r>
      <w:r w:rsidR="00402FF8" w:rsidRPr="00EC182F">
        <w:rPr>
          <w:rFonts w:ascii="Times New Roman" w:hAnsi="Times New Roman" w:cs="Times New Roman"/>
          <w:b/>
          <w:bCs/>
          <w:sz w:val="24"/>
          <w:szCs w:val="24"/>
        </w:rPr>
        <w:t xml:space="preserve"> не са калкулирани в цената й</w:t>
      </w:r>
      <w:r w:rsidR="00402FF8">
        <w:rPr>
          <w:rFonts w:ascii="Times New Roman" w:hAnsi="Times New Roman" w:cs="Times New Roman"/>
          <w:b/>
          <w:bCs/>
          <w:sz w:val="24"/>
          <w:szCs w:val="24"/>
        </w:rPr>
        <w:t xml:space="preserve">. </w:t>
      </w:r>
      <w:r>
        <w:rPr>
          <w:rFonts w:ascii="Times New Roman" w:hAnsi="Times New Roman" w:cs="Times New Roman"/>
          <w:sz w:val="24"/>
          <w:szCs w:val="24"/>
        </w:rPr>
        <w:t xml:space="preserve">Разходите за пуск </w:t>
      </w:r>
      <w:r w:rsidR="00402FF8">
        <w:rPr>
          <w:rFonts w:ascii="Times New Roman" w:hAnsi="Times New Roman" w:cs="Times New Roman"/>
          <w:b/>
          <w:bCs/>
          <w:sz w:val="24"/>
          <w:szCs w:val="24"/>
        </w:rPr>
        <w:t xml:space="preserve">и последващо спиране </w:t>
      </w:r>
      <w:r>
        <w:rPr>
          <w:rFonts w:ascii="Times New Roman" w:hAnsi="Times New Roman" w:cs="Times New Roman"/>
          <w:sz w:val="24"/>
          <w:szCs w:val="24"/>
        </w:rPr>
        <w:t xml:space="preserve">са в размер на </w:t>
      </w:r>
      <w:r w:rsidR="00EC6894">
        <w:rPr>
          <w:rFonts w:ascii="Times New Roman" w:hAnsi="Times New Roman" w:cs="Times New Roman"/>
          <w:b/>
          <w:sz w:val="24"/>
          <w:szCs w:val="24"/>
        </w:rPr>
        <w:t>……</w:t>
      </w:r>
      <w:r w:rsidR="00EC6894" w:rsidRPr="00215740">
        <w:rPr>
          <w:rFonts w:ascii="Times New Roman" w:hAnsi="Times New Roman" w:cs="Times New Roman"/>
          <w:b/>
          <w:sz w:val="24"/>
          <w:szCs w:val="24"/>
        </w:rPr>
        <w:t xml:space="preserve"> </w:t>
      </w:r>
      <w:proofErr w:type="spellStart"/>
      <w:r w:rsidR="00521892" w:rsidRPr="00215740">
        <w:rPr>
          <w:rFonts w:ascii="Times New Roman" w:hAnsi="Times New Roman" w:cs="Times New Roman"/>
          <w:b/>
          <w:sz w:val="24"/>
          <w:szCs w:val="24"/>
        </w:rPr>
        <w:t>хил.</w:t>
      </w:r>
      <w:r w:rsidRPr="00215740">
        <w:rPr>
          <w:rFonts w:ascii="Times New Roman" w:hAnsi="Times New Roman" w:cs="Times New Roman"/>
          <w:b/>
          <w:sz w:val="24"/>
          <w:szCs w:val="24"/>
        </w:rPr>
        <w:t>л</w:t>
      </w:r>
      <w:r w:rsidR="00521892" w:rsidRPr="00215740">
        <w:rPr>
          <w:rFonts w:ascii="Times New Roman" w:hAnsi="Times New Roman" w:cs="Times New Roman"/>
          <w:b/>
          <w:sz w:val="24"/>
          <w:szCs w:val="24"/>
        </w:rPr>
        <w:t>в</w:t>
      </w:r>
      <w:proofErr w:type="spellEnd"/>
      <w:r w:rsidR="00521892" w:rsidRPr="00215740">
        <w:rPr>
          <w:rFonts w:ascii="Times New Roman" w:hAnsi="Times New Roman" w:cs="Times New Roman"/>
          <w:b/>
          <w:sz w:val="24"/>
          <w:szCs w:val="24"/>
        </w:rPr>
        <w:t>.</w:t>
      </w:r>
      <w:r>
        <w:rPr>
          <w:rFonts w:ascii="Times New Roman" w:hAnsi="Times New Roman" w:cs="Times New Roman"/>
          <w:sz w:val="24"/>
          <w:szCs w:val="24"/>
        </w:rPr>
        <w:t xml:space="preserve">, и не са калкулирани в цената й, </w:t>
      </w:r>
      <w:r>
        <w:rPr>
          <w:rFonts w:ascii="Times New Roman" w:eastAsia="Times New Roman" w:hAnsi="Times New Roman" w:cs="Times New Roman"/>
          <w:sz w:val="24"/>
          <w:szCs w:val="24"/>
          <w:lang w:eastAsia="bg-BG"/>
        </w:rPr>
        <w:t>като следва да бъде признати като компенсация</w:t>
      </w:r>
      <w:r>
        <w:rPr>
          <w:rFonts w:ascii="Times New Roman" w:hAnsi="Times New Roman" w:cs="Times New Roman"/>
          <w:sz w:val="24"/>
          <w:szCs w:val="24"/>
        </w:rPr>
        <w:t>. Калкулацията на разходите са предоставени като Приложение.</w:t>
      </w:r>
    </w:p>
    <w:p w14:paraId="6D4DA6D3" w14:textId="77777777" w:rsidR="00084410" w:rsidRDefault="00BF5E9A">
      <w:p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Отчетните данни за разходите свързани с производството н</w:t>
      </w:r>
      <w:r w:rsidR="006D55D3">
        <w:rPr>
          <w:rFonts w:ascii="Times New Roman" w:eastAsia="Times New Roman" w:hAnsi="Times New Roman" w:cs="Times New Roman"/>
          <w:sz w:val="24"/>
          <w:szCs w:val="24"/>
          <w:lang w:eastAsia="bg-BG"/>
        </w:rPr>
        <w:t>а електрическа енергия през 2020</w:t>
      </w:r>
      <w:r>
        <w:rPr>
          <w:rFonts w:ascii="Times New Roman" w:eastAsia="Times New Roman" w:hAnsi="Times New Roman" w:cs="Times New Roman"/>
          <w:sz w:val="24"/>
          <w:szCs w:val="24"/>
          <w:lang w:eastAsia="bg-BG"/>
        </w:rPr>
        <w:t xml:space="preserve"> г. формират значително по-висока стойност, спрямо прогнозните разходи, използвани от КЕВР при утвърждаване на регулираните цени. Това се дължи на две обстоятелства:</w:t>
      </w:r>
    </w:p>
    <w:p w14:paraId="5705EEA7" w14:textId="77777777" w:rsidR="00BF5E9A" w:rsidRDefault="00BF5E9A">
      <w:pPr>
        <w:pStyle w:val="ListParagraph"/>
        <w:numPr>
          <w:ilvl w:val="1"/>
          <w:numId w:val="8"/>
        </w:num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Утвърждаваните цени от КЕВР се базират винаги на прогнозни данни, а колкото и прецизна да е прогнозата на регулатора, разликата с отчетните данни подлежи на регулаторен преглед, относно икономическата обоснованост на разходите и последващо признаване и включване като част от необходимите приходи за следващия регулаторен период;</w:t>
      </w:r>
    </w:p>
    <w:p w14:paraId="19A15C34" w14:textId="77777777" w:rsidR="00BF5E9A" w:rsidRDefault="00441350">
      <w:pPr>
        <w:pStyle w:val="ListParagraph"/>
        <w:numPr>
          <w:ilvl w:val="1"/>
          <w:numId w:val="8"/>
        </w:numPr>
        <w:spacing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Влиянието на ценовите нива на международните борсови пазари до голяма степен е свързано с рискове, които не могат да бъдат планирани – такъв пример е резкият скок в цените на въг</w:t>
      </w:r>
      <w:r w:rsidR="006D55D3">
        <w:rPr>
          <w:rFonts w:ascii="Times New Roman" w:eastAsia="Times New Roman" w:hAnsi="Times New Roman" w:cs="Times New Roman"/>
          <w:sz w:val="24"/>
          <w:szCs w:val="24"/>
          <w:lang w:eastAsia="bg-BG"/>
        </w:rPr>
        <w:t>леродните емисии през 2020</w:t>
      </w:r>
      <w:r>
        <w:rPr>
          <w:rFonts w:ascii="Times New Roman" w:eastAsia="Times New Roman" w:hAnsi="Times New Roman" w:cs="Times New Roman"/>
          <w:sz w:val="24"/>
          <w:szCs w:val="24"/>
          <w:lang w:eastAsia="bg-BG"/>
        </w:rPr>
        <w:t xml:space="preserve"> г., което донесе на „ТЕЦ Марица изток 2“ЕАД сериозни допълнителни разходи и цената на електрическата енергия </w:t>
      </w:r>
      <w:r>
        <w:rPr>
          <w:rFonts w:ascii="Times New Roman" w:eastAsia="Times New Roman" w:hAnsi="Times New Roman" w:cs="Times New Roman"/>
          <w:sz w:val="24"/>
          <w:szCs w:val="24"/>
          <w:lang w:eastAsia="bg-BG"/>
        </w:rPr>
        <w:lastRenderedPageBreak/>
        <w:t>за клиентите на регулирания пазар се увеличи двукратно спрямо прогнозата на КЕВР за предходния регулаторен период.</w:t>
      </w:r>
    </w:p>
    <w:p w14:paraId="41B74B8D" w14:textId="02F8E116" w:rsidR="00B60830" w:rsidRDefault="00B60830">
      <w:pPr>
        <w:spacing w:after="120" w:line="240" w:lineRule="auto"/>
        <w:jc w:val="both"/>
        <w:rPr>
          <w:rFonts w:ascii="Times New Roman" w:eastAsia="Times New Roman" w:hAnsi="Times New Roman" w:cs="Times New Roman"/>
          <w:b/>
          <w:sz w:val="24"/>
          <w:szCs w:val="24"/>
          <w:lang w:eastAsia="bg-BG"/>
        </w:rPr>
      </w:pPr>
      <w:r w:rsidRPr="0051658F">
        <w:rPr>
          <w:rFonts w:ascii="Times New Roman" w:eastAsia="Times New Roman" w:hAnsi="Times New Roman" w:cs="Times New Roman"/>
          <w:b/>
          <w:sz w:val="24"/>
          <w:szCs w:val="24"/>
          <w:lang w:eastAsia="bg-BG"/>
        </w:rPr>
        <w:t>Предвид гореизложеното, „ТЕЦ Марица изток 2“ ЕАД внася за разглеждане в КЕВР искане за признаване и компенсиране на разходи на основание чл. 35 от Закона за енергетиката, за количествата електрическа енергия предоставени на обществения доставчик за нуждите на регулирания пазар, съгласно утвърдените с Решение № Ц – 1</w:t>
      </w:r>
      <w:r w:rsidR="0051658F" w:rsidRPr="0051658F">
        <w:rPr>
          <w:rFonts w:ascii="Times New Roman" w:eastAsia="Times New Roman" w:hAnsi="Times New Roman" w:cs="Times New Roman"/>
          <w:b/>
          <w:sz w:val="24"/>
          <w:szCs w:val="24"/>
          <w:lang w:eastAsia="bg-BG"/>
        </w:rPr>
        <w:t>9</w:t>
      </w:r>
      <w:r w:rsidRPr="0051658F">
        <w:rPr>
          <w:rFonts w:ascii="Times New Roman" w:eastAsia="Times New Roman" w:hAnsi="Times New Roman" w:cs="Times New Roman"/>
          <w:b/>
          <w:sz w:val="24"/>
          <w:szCs w:val="24"/>
          <w:lang w:eastAsia="bg-BG"/>
        </w:rPr>
        <w:t>/01.07.20</w:t>
      </w:r>
      <w:r w:rsidR="0051658F" w:rsidRPr="0051658F">
        <w:rPr>
          <w:rFonts w:ascii="Times New Roman" w:eastAsia="Times New Roman" w:hAnsi="Times New Roman" w:cs="Times New Roman"/>
          <w:b/>
          <w:sz w:val="24"/>
          <w:szCs w:val="24"/>
          <w:lang w:eastAsia="bg-BG"/>
        </w:rPr>
        <w:t>19</w:t>
      </w:r>
      <w:r w:rsidRPr="0051658F">
        <w:rPr>
          <w:rFonts w:ascii="Times New Roman" w:eastAsia="Times New Roman" w:hAnsi="Times New Roman" w:cs="Times New Roman"/>
          <w:b/>
          <w:sz w:val="24"/>
          <w:szCs w:val="24"/>
          <w:lang w:eastAsia="bg-BG"/>
        </w:rPr>
        <w:t xml:space="preserve"> г. и Решение № Ц-</w:t>
      </w:r>
      <w:r w:rsidR="0051658F" w:rsidRPr="0051658F">
        <w:rPr>
          <w:rFonts w:ascii="Times New Roman" w:eastAsia="Times New Roman" w:hAnsi="Times New Roman" w:cs="Times New Roman"/>
          <w:b/>
          <w:sz w:val="24"/>
          <w:szCs w:val="24"/>
          <w:lang w:eastAsia="bg-BG"/>
        </w:rPr>
        <w:t>2</w:t>
      </w:r>
      <w:r w:rsidRPr="0051658F">
        <w:rPr>
          <w:rFonts w:ascii="Times New Roman" w:eastAsia="Times New Roman" w:hAnsi="Times New Roman" w:cs="Times New Roman"/>
          <w:b/>
          <w:sz w:val="24"/>
          <w:szCs w:val="24"/>
          <w:lang w:eastAsia="bg-BG"/>
        </w:rPr>
        <w:t>9/01.07.20</w:t>
      </w:r>
      <w:r w:rsidR="0051658F" w:rsidRPr="0051658F">
        <w:rPr>
          <w:rFonts w:ascii="Times New Roman" w:eastAsia="Times New Roman" w:hAnsi="Times New Roman" w:cs="Times New Roman"/>
          <w:b/>
          <w:sz w:val="24"/>
          <w:szCs w:val="24"/>
          <w:lang w:eastAsia="bg-BG"/>
        </w:rPr>
        <w:t>20</w:t>
      </w:r>
      <w:r w:rsidRPr="0051658F">
        <w:rPr>
          <w:rFonts w:ascii="Times New Roman" w:eastAsia="Times New Roman" w:hAnsi="Times New Roman" w:cs="Times New Roman"/>
          <w:b/>
          <w:sz w:val="24"/>
          <w:szCs w:val="24"/>
          <w:lang w:eastAsia="bg-BG"/>
        </w:rPr>
        <w:t xml:space="preserve"> г.</w:t>
      </w:r>
      <w:r w:rsidR="00AD0A18">
        <w:rPr>
          <w:rFonts w:ascii="Times New Roman" w:eastAsia="Times New Roman" w:hAnsi="Times New Roman" w:cs="Times New Roman"/>
          <w:b/>
          <w:sz w:val="24"/>
          <w:szCs w:val="24"/>
          <w:lang w:eastAsia="bg-BG"/>
        </w:rPr>
        <w:t xml:space="preserve"> квоти</w:t>
      </w:r>
      <w:r w:rsidRPr="0051658F">
        <w:rPr>
          <w:rFonts w:ascii="Times New Roman" w:eastAsia="Times New Roman" w:hAnsi="Times New Roman" w:cs="Times New Roman"/>
          <w:b/>
          <w:sz w:val="24"/>
          <w:szCs w:val="24"/>
          <w:lang w:eastAsia="bg-BG"/>
        </w:rPr>
        <w:t xml:space="preserve">, </w:t>
      </w:r>
      <w:r w:rsidR="00634ACD" w:rsidRPr="0051658F">
        <w:rPr>
          <w:rFonts w:ascii="Times New Roman" w:eastAsia="Times New Roman" w:hAnsi="Times New Roman" w:cs="Times New Roman"/>
          <w:b/>
          <w:sz w:val="24"/>
          <w:szCs w:val="24"/>
          <w:lang w:eastAsia="bg-BG"/>
        </w:rPr>
        <w:t>както и Заповед</w:t>
      </w:r>
      <w:r w:rsidR="0051658F" w:rsidRPr="0051658F">
        <w:rPr>
          <w:rFonts w:ascii="Times New Roman" w:eastAsia="Times New Roman" w:hAnsi="Times New Roman" w:cs="Times New Roman"/>
          <w:b/>
          <w:sz w:val="24"/>
          <w:szCs w:val="24"/>
          <w:lang w:eastAsia="bg-BG"/>
        </w:rPr>
        <w:t>и с</w:t>
      </w:r>
      <w:r w:rsidR="0051658F" w:rsidRPr="0051658F">
        <w:rPr>
          <w:rFonts w:ascii="Times New Roman" w:eastAsia="Calibri" w:hAnsi="Times New Roman" w:cs="Times New Roman"/>
          <w:b/>
          <w:sz w:val="24"/>
          <w:szCs w:val="24"/>
        </w:rPr>
        <w:t xml:space="preserve"> </w:t>
      </w:r>
      <w:r w:rsidR="0051658F" w:rsidRPr="0051658F">
        <w:rPr>
          <w:rFonts w:ascii="Times New Roman" w:eastAsia="Times New Roman" w:hAnsi="Times New Roman" w:cs="Times New Roman"/>
          <w:b/>
          <w:sz w:val="24"/>
          <w:szCs w:val="24"/>
          <w:lang w:eastAsia="bg-BG"/>
        </w:rPr>
        <w:t>№ Е-РД-16-417/18.06.2019  г.</w:t>
      </w:r>
      <w:r w:rsidR="0051658F" w:rsidRPr="0051658F">
        <w:rPr>
          <w:rFonts w:ascii="Times New Roman" w:eastAsia="Calibri" w:hAnsi="Times New Roman" w:cs="Times New Roman"/>
          <w:b/>
          <w:sz w:val="24"/>
          <w:szCs w:val="24"/>
        </w:rPr>
        <w:t xml:space="preserve">, </w:t>
      </w:r>
      <w:r w:rsidR="0051658F" w:rsidRPr="0051658F">
        <w:rPr>
          <w:rFonts w:ascii="Times New Roman" w:eastAsia="Times New Roman" w:hAnsi="Times New Roman" w:cs="Times New Roman"/>
          <w:b/>
          <w:sz w:val="24"/>
          <w:szCs w:val="24"/>
          <w:lang w:eastAsia="bg-BG"/>
        </w:rPr>
        <w:t xml:space="preserve">№ Е-РД-16-39/29.01.2020 г. </w:t>
      </w:r>
      <w:r w:rsidR="0051658F" w:rsidRPr="0051658F">
        <w:rPr>
          <w:rFonts w:ascii="Times New Roman" w:eastAsia="Calibri" w:hAnsi="Times New Roman" w:cs="Times New Roman"/>
          <w:b/>
          <w:sz w:val="24"/>
          <w:szCs w:val="24"/>
        </w:rPr>
        <w:t>и № Е-РД-16-295/25.06.2020 г.</w:t>
      </w:r>
      <w:r w:rsidR="00634ACD" w:rsidRPr="0051658F">
        <w:rPr>
          <w:rFonts w:ascii="Times New Roman" w:eastAsia="Times New Roman" w:hAnsi="Times New Roman" w:cs="Times New Roman"/>
          <w:b/>
          <w:sz w:val="24"/>
          <w:szCs w:val="24"/>
          <w:lang w:eastAsia="bg-BG"/>
        </w:rPr>
        <w:t xml:space="preserve"> на Министъра на енергетиката </w:t>
      </w:r>
      <w:r w:rsidRPr="0051658F">
        <w:rPr>
          <w:rFonts w:ascii="Times New Roman" w:eastAsia="Times New Roman" w:hAnsi="Times New Roman" w:cs="Times New Roman"/>
          <w:b/>
          <w:sz w:val="24"/>
          <w:szCs w:val="24"/>
          <w:lang w:eastAsia="bg-BG"/>
        </w:rPr>
        <w:t>с оглед гарантиране сигурността на доставките на електрическа енергия</w:t>
      </w:r>
      <w:r w:rsidR="00FB3F16">
        <w:rPr>
          <w:rFonts w:ascii="Times New Roman" w:eastAsia="Times New Roman" w:hAnsi="Times New Roman" w:cs="Times New Roman"/>
          <w:b/>
          <w:sz w:val="24"/>
          <w:szCs w:val="24"/>
          <w:lang w:eastAsia="bg-BG"/>
        </w:rPr>
        <w:t xml:space="preserve"> в общ размер </w:t>
      </w:r>
      <w:r w:rsidR="00EC6894">
        <w:rPr>
          <w:rFonts w:ascii="Times New Roman" w:eastAsia="Times New Roman" w:hAnsi="Times New Roman" w:cs="Times New Roman"/>
          <w:b/>
          <w:sz w:val="24"/>
          <w:szCs w:val="24"/>
          <w:lang w:eastAsia="bg-BG"/>
        </w:rPr>
        <w:t>……….</w:t>
      </w:r>
      <w:r w:rsidR="00FB3F16">
        <w:rPr>
          <w:rFonts w:ascii="Times New Roman" w:eastAsia="Times New Roman" w:hAnsi="Times New Roman" w:cs="Times New Roman"/>
          <w:b/>
          <w:sz w:val="24"/>
          <w:szCs w:val="24"/>
          <w:lang w:eastAsia="bg-BG"/>
        </w:rPr>
        <w:t xml:space="preserve"> </w:t>
      </w:r>
      <w:proofErr w:type="spellStart"/>
      <w:r w:rsidR="00FB3F16">
        <w:rPr>
          <w:rFonts w:ascii="Times New Roman" w:eastAsia="Times New Roman" w:hAnsi="Times New Roman" w:cs="Times New Roman"/>
          <w:b/>
          <w:sz w:val="24"/>
          <w:szCs w:val="24"/>
          <w:lang w:eastAsia="bg-BG"/>
        </w:rPr>
        <w:t>хил.лв</w:t>
      </w:r>
      <w:proofErr w:type="spellEnd"/>
      <w:r w:rsidR="00FB3F16">
        <w:rPr>
          <w:rFonts w:ascii="Times New Roman" w:eastAsia="Times New Roman" w:hAnsi="Times New Roman" w:cs="Times New Roman"/>
          <w:b/>
          <w:sz w:val="24"/>
          <w:szCs w:val="24"/>
          <w:lang w:eastAsia="bg-BG"/>
        </w:rPr>
        <w:t>.</w:t>
      </w:r>
      <w:r w:rsidRPr="0051658F">
        <w:rPr>
          <w:rFonts w:ascii="Times New Roman" w:eastAsia="Times New Roman" w:hAnsi="Times New Roman" w:cs="Times New Roman"/>
          <w:b/>
          <w:sz w:val="24"/>
          <w:szCs w:val="24"/>
          <w:lang w:eastAsia="bg-BG"/>
        </w:rPr>
        <w:t xml:space="preserve"> както следва:</w:t>
      </w:r>
    </w:p>
    <w:p w14:paraId="2FDA2CE0" w14:textId="20DFC0AB" w:rsidR="003A56CC" w:rsidRPr="003A56CC" w:rsidRDefault="00AD0A18">
      <w:pPr>
        <w:pStyle w:val="ListParagraph"/>
        <w:numPr>
          <w:ilvl w:val="0"/>
          <w:numId w:val="10"/>
        </w:numPr>
        <w:spacing w:after="12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Действително отчетени р</w:t>
      </w:r>
      <w:r w:rsidR="003A56CC">
        <w:rPr>
          <w:rFonts w:ascii="Times New Roman" w:eastAsia="Times New Roman" w:hAnsi="Times New Roman" w:cs="Times New Roman"/>
          <w:b/>
          <w:sz w:val="24"/>
          <w:szCs w:val="24"/>
          <w:lang w:eastAsia="bg-BG"/>
        </w:rPr>
        <w:t>азход</w:t>
      </w:r>
      <w:r>
        <w:rPr>
          <w:rFonts w:ascii="Times New Roman" w:eastAsia="Times New Roman" w:hAnsi="Times New Roman" w:cs="Times New Roman"/>
          <w:b/>
          <w:sz w:val="24"/>
          <w:szCs w:val="24"/>
          <w:lang w:eastAsia="bg-BG"/>
        </w:rPr>
        <w:t>и, подлежащи на компенсиране през 2020 г.</w:t>
      </w:r>
      <w:r w:rsidR="0031208D">
        <w:rPr>
          <w:rFonts w:ascii="Times New Roman" w:eastAsia="Times New Roman" w:hAnsi="Times New Roman" w:cs="Times New Roman"/>
          <w:b/>
          <w:sz w:val="24"/>
          <w:szCs w:val="24"/>
          <w:lang w:eastAsia="bg-BG"/>
        </w:rPr>
        <w:t>, както</w:t>
      </w:r>
      <w:r>
        <w:rPr>
          <w:rFonts w:ascii="Times New Roman" w:eastAsia="Times New Roman" w:hAnsi="Times New Roman" w:cs="Times New Roman"/>
          <w:b/>
          <w:sz w:val="24"/>
          <w:szCs w:val="24"/>
          <w:lang w:eastAsia="bg-BG"/>
        </w:rPr>
        <w:t xml:space="preserve"> и </w:t>
      </w:r>
      <w:r w:rsidR="0031208D">
        <w:rPr>
          <w:rFonts w:ascii="Times New Roman" w:eastAsia="Times New Roman" w:hAnsi="Times New Roman" w:cs="Times New Roman"/>
          <w:b/>
          <w:sz w:val="24"/>
          <w:szCs w:val="24"/>
          <w:lang w:eastAsia="bg-BG"/>
        </w:rPr>
        <w:t xml:space="preserve">за </w:t>
      </w:r>
      <w:r>
        <w:rPr>
          <w:rFonts w:ascii="Times New Roman" w:eastAsia="Times New Roman" w:hAnsi="Times New Roman" w:cs="Times New Roman"/>
          <w:b/>
          <w:sz w:val="24"/>
          <w:szCs w:val="24"/>
          <w:lang w:eastAsia="bg-BG"/>
        </w:rPr>
        <w:t xml:space="preserve">първото полугодие на 2021 г., в размер на </w:t>
      </w:r>
      <w:r w:rsidR="00EC6894">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 xml:space="preserve"> хил. лв., в т.ч.:</w:t>
      </w:r>
    </w:p>
    <w:p w14:paraId="5FF8603E" w14:textId="42EF1207" w:rsidR="00B60830" w:rsidRPr="00634ACD" w:rsidRDefault="00B60830">
      <w:pPr>
        <w:pStyle w:val="ListParagraph"/>
        <w:numPr>
          <w:ilvl w:val="1"/>
          <w:numId w:val="10"/>
        </w:numPr>
        <w:spacing w:after="120" w:line="240" w:lineRule="auto"/>
        <w:jc w:val="both"/>
        <w:rPr>
          <w:rFonts w:ascii="Times New Roman" w:eastAsia="Times New Roman" w:hAnsi="Times New Roman" w:cs="Times New Roman"/>
          <w:b/>
          <w:sz w:val="24"/>
          <w:szCs w:val="24"/>
          <w:lang w:eastAsia="bg-BG"/>
        </w:rPr>
      </w:pPr>
      <w:r w:rsidRPr="00634ACD">
        <w:rPr>
          <w:rFonts w:ascii="Times New Roman" w:eastAsia="Times New Roman" w:hAnsi="Times New Roman" w:cs="Times New Roman"/>
          <w:b/>
          <w:sz w:val="24"/>
          <w:szCs w:val="24"/>
          <w:lang w:eastAsia="bg-BG"/>
        </w:rPr>
        <w:t>Разходи, подлежащи на компенсиране по Решение № Ц-1</w:t>
      </w:r>
      <w:r w:rsidR="0051658F">
        <w:rPr>
          <w:rFonts w:ascii="Times New Roman" w:eastAsia="Times New Roman" w:hAnsi="Times New Roman" w:cs="Times New Roman"/>
          <w:b/>
          <w:sz w:val="24"/>
          <w:szCs w:val="24"/>
          <w:lang w:eastAsia="bg-BG"/>
        </w:rPr>
        <w:t>9</w:t>
      </w:r>
      <w:r w:rsidRPr="00634ACD">
        <w:rPr>
          <w:rFonts w:ascii="Times New Roman" w:eastAsia="Times New Roman" w:hAnsi="Times New Roman" w:cs="Times New Roman"/>
          <w:b/>
          <w:sz w:val="24"/>
          <w:szCs w:val="24"/>
          <w:lang w:eastAsia="bg-BG"/>
        </w:rPr>
        <w:t>/01.07.201</w:t>
      </w:r>
      <w:r w:rsidR="0051658F">
        <w:rPr>
          <w:rFonts w:ascii="Times New Roman" w:eastAsia="Times New Roman" w:hAnsi="Times New Roman" w:cs="Times New Roman"/>
          <w:b/>
          <w:sz w:val="24"/>
          <w:szCs w:val="24"/>
          <w:lang w:eastAsia="bg-BG"/>
        </w:rPr>
        <w:t xml:space="preserve">9 г. на КЕВР </w:t>
      </w:r>
      <w:r w:rsidR="0031208D">
        <w:rPr>
          <w:rFonts w:ascii="Times New Roman" w:eastAsia="Times New Roman" w:hAnsi="Times New Roman" w:cs="Times New Roman"/>
          <w:b/>
          <w:sz w:val="24"/>
          <w:szCs w:val="24"/>
          <w:lang w:eastAsia="bg-BG"/>
        </w:rPr>
        <w:t>за периода от 01.01.2020 г. до 30.06.2020 г.</w:t>
      </w:r>
      <w:r w:rsidR="0051658F">
        <w:rPr>
          <w:rFonts w:ascii="Times New Roman" w:eastAsia="Times New Roman" w:hAnsi="Times New Roman" w:cs="Times New Roman"/>
          <w:b/>
          <w:sz w:val="24"/>
          <w:szCs w:val="24"/>
          <w:lang w:eastAsia="bg-BG"/>
        </w:rPr>
        <w:t xml:space="preserve">- </w:t>
      </w:r>
      <w:r w:rsidR="00EC6894">
        <w:rPr>
          <w:rFonts w:ascii="Times New Roman" w:eastAsia="Times New Roman" w:hAnsi="Times New Roman" w:cs="Times New Roman"/>
          <w:b/>
          <w:sz w:val="24"/>
          <w:szCs w:val="24"/>
          <w:lang w:eastAsia="bg-BG"/>
        </w:rPr>
        <w:t>……..</w:t>
      </w:r>
      <w:r w:rsidRPr="00634ACD">
        <w:rPr>
          <w:rFonts w:ascii="Times New Roman" w:eastAsia="Times New Roman" w:hAnsi="Times New Roman" w:cs="Times New Roman"/>
          <w:b/>
          <w:sz w:val="24"/>
          <w:szCs w:val="24"/>
          <w:lang w:eastAsia="bg-BG"/>
        </w:rPr>
        <w:t xml:space="preserve"> хил.</w:t>
      </w:r>
      <w:r w:rsidR="00634ACD" w:rsidRPr="00634ACD">
        <w:rPr>
          <w:rFonts w:ascii="Times New Roman" w:eastAsia="Times New Roman" w:hAnsi="Times New Roman" w:cs="Times New Roman"/>
          <w:b/>
          <w:sz w:val="24"/>
          <w:szCs w:val="24"/>
          <w:lang w:eastAsia="bg-BG"/>
        </w:rPr>
        <w:t xml:space="preserve"> </w:t>
      </w:r>
      <w:r w:rsidRPr="00634ACD">
        <w:rPr>
          <w:rFonts w:ascii="Times New Roman" w:eastAsia="Times New Roman" w:hAnsi="Times New Roman" w:cs="Times New Roman"/>
          <w:b/>
          <w:sz w:val="24"/>
          <w:szCs w:val="24"/>
          <w:lang w:eastAsia="bg-BG"/>
        </w:rPr>
        <w:t xml:space="preserve">лв. </w:t>
      </w:r>
    </w:p>
    <w:p w14:paraId="569126AE" w14:textId="68935FF8" w:rsidR="00B60830" w:rsidRDefault="00B60830">
      <w:pPr>
        <w:pStyle w:val="ListParagraph"/>
        <w:numPr>
          <w:ilvl w:val="1"/>
          <w:numId w:val="10"/>
        </w:numPr>
        <w:spacing w:after="120" w:line="240" w:lineRule="auto"/>
        <w:jc w:val="both"/>
        <w:rPr>
          <w:rFonts w:ascii="Times New Roman" w:eastAsia="Times New Roman" w:hAnsi="Times New Roman" w:cs="Times New Roman"/>
          <w:b/>
          <w:sz w:val="24"/>
          <w:szCs w:val="24"/>
          <w:lang w:eastAsia="bg-BG"/>
        </w:rPr>
      </w:pPr>
      <w:r w:rsidRPr="00634ACD">
        <w:rPr>
          <w:rFonts w:ascii="Times New Roman" w:eastAsia="Times New Roman" w:hAnsi="Times New Roman" w:cs="Times New Roman"/>
          <w:b/>
          <w:sz w:val="24"/>
          <w:szCs w:val="24"/>
          <w:lang w:eastAsia="bg-BG"/>
        </w:rPr>
        <w:t>Разходи подлежащи н</w:t>
      </w:r>
      <w:r w:rsidR="0051658F">
        <w:rPr>
          <w:rFonts w:ascii="Times New Roman" w:eastAsia="Times New Roman" w:hAnsi="Times New Roman" w:cs="Times New Roman"/>
          <w:b/>
          <w:sz w:val="24"/>
          <w:szCs w:val="24"/>
          <w:lang w:eastAsia="bg-BG"/>
        </w:rPr>
        <w:t>а компенсиране по Решение № Ц-29</w:t>
      </w:r>
      <w:r w:rsidRPr="00634ACD">
        <w:rPr>
          <w:rFonts w:ascii="Times New Roman" w:eastAsia="Times New Roman" w:hAnsi="Times New Roman" w:cs="Times New Roman"/>
          <w:b/>
          <w:sz w:val="24"/>
          <w:szCs w:val="24"/>
          <w:lang w:eastAsia="bg-BG"/>
        </w:rPr>
        <w:t>/01.07.20</w:t>
      </w:r>
      <w:r w:rsidR="0051658F">
        <w:rPr>
          <w:rFonts w:ascii="Times New Roman" w:eastAsia="Times New Roman" w:hAnsi="Times New Roman" w:cs="Times New Roman"/>
          <w:b/>
          <w:sz w:val="24"/>
          <w:szCs w:val="24"/>
          <w:lang w:eastAsia="bg-BG"/>
        </w:rPr>
        <w:t>20</w:t>
      </w:r>
      <w:r w:rsidRPr="00634ACD">
        <w:rPr>
          <w:rFonts w:ascii="Times New Roman" w:eastAsia="Times New Roman" w:hAnsi="Times New Roman" w:cs="Times New Roman"/>
          <w:b/>
          <w:sz w:val="24"/>
          <w:szCs w:val="24"/>
          <w:lang w:eastAsia="bg-BG"/>
        </w:rPr>
        <w:t xml:space="preserve"> г.</w:t>
      </w:r>
      <w:r w:rsidR="00634ACD" w:rsidRPr="00634ACD">
        <w:rPr>
          <w:rFonts w:ascii="Times New Roman" w:eastAsia="Times New Roman" w:hAnsi="Times New Roman" w:cs="Times New Roman"/>
          <w:b/>
          <w:sz w:val="24"/>
          <w:szCs w:val="24"/>
          <w:lang w:eastAsia="bg-BG"/>
        </w:rPr>
        <w:t xml:space="preserve"> на КЕВР</w:t>
      </w:r>
      <w:r w:rsidR="0051658F">
        <w:rPr>
          <w:rFonts w:ascii="Times New Roman" w:eastAsia="Times New Roman" w:hAnsi="Times New Roman" w:cs="Times New Roman"/>
          <w:b/>
          <w:sz w:val="24"/>
          <w:szCs w:val="24"/>
          <w:lang w:eastAsia="bg-BG"/>
        </w:rPr>
        <w:t xml:space="preserve"> </w:t>
      </w:r>
      <w:r w:rsidR="0031208D">
        <w:rPr>
          <w:rFonts w:ascii="Times New Roman" w:eastAsia="Times New Roman" w:hAnsi="Times New Roman" w:cs="Times New Roman"/>
          <w:b/>
          <w:sz w:val="24"/>
          <w:szCs w:val="24"/>
          <w:lang w:eastAsia="bg-BG"/>
        </w:rPr>
        <w:t>за периода от 01.07.2020 г. до 30.06.2021 г.</w:t>
      </w:r>
      <w:r w:rsidR="0051658F">
        <w:rPr>
          <w:rFonts w:ascii="Times New Roman" w:eastAsia="Times New Roman" w:hAnsi="Times New Roman" w:cs="Times New Roman"/>
          <w:b/>
          <w:sz w:val="24"/>
          <w:szCs w:val="24"/>
          <w:lang w:eastAsia="bg-BG"/>
        </w:rPr>
        <w:t xml:space="preserve">– </w:t>
      </w:r>
      <w:r w:rsidR="00EC6894">
        <w:rPr>
          <w:rFonts w:ascii="Times New Roman" w:eastAsia="Times New Roman" w:hAnsi="Times New Roman" w:cs="Times New Roman"/>
          <w:b/>
          <w:sz w:val="24"/>
          <w:szCs w:val="24"/>
          <w:lang w:eastAsia="bg-BG"/>
        </w:rPr>
        <w:t>……….</w:t>
      </w:r>
      <w:r w:rsidR="0051658F">
        <w:rPr>
          <w:rFonts w:ascii="Times New Roman" w:eastAsia="Times New Roman" w:hAnsi="Times New Roman" w:cs="Times New Roman"/>
          <w:b/>
          <w:sz w:val="24"/>
          <w:szCs w:val="24"/>
          <w:lang w:eastAsia="bg-BG"/>
        </w:rPr>
        <w:t xml:space="preserve"> хил. лв.</w:t>
      </w:r>
    </w:p>
    <w:p w14:paraId="1D34CF9B" w14:textId="677F64A1" w:rsidR="00521892" w:rsidRDefault="00521892">
      <w:pPr>
        <w:pStyle w:val="ListParagraph"/>
        <w:numPr>
          <w:ilvl w:val="0"/>
          <w:numId w:val="10"/>
        </w:numPr>
        <w:spacing w:after="120" w:line="240" w:lineRule="auto"/>
        <w:jc w:val="both"/>
        <w:rPr>
          <w:rFonts w:ascii="Times New Roman" w:eastAsia="Times New Roman" w:hAnsi="Times New Roman" w:cs="Times New Roman"/>
          <w:b/>
          <w:sz w:val="24"/>
          <w:szCs w:val="24"/>
          <w:lang w:eastAsia="bg-BG"/>
        </w:rPr>
      </w:pPr>
      <w:r w:rsidRPr="00215740">
        <w:rPr>
          <w:rFonts w:ascii="Times New Roman" w:eastAsia="Times New Roman" w:hAnsi="Times New Roman" w:cs="Times New Roman"/>
          <w:b/>
          <w:sz w:val="24"/>
          <w:szCs w:val="24"/>
          <w:lang w:eastAsia="bg-BG"/>
        </w:rPr>
        <w:t xml:space="preserve">Компенсация за по-малкия размер платени суми в съответствие с чл.8 </w:t>
      </w:r>
      <w:r w:rsidRPr="00215740">
        <w:rPr>
          <w:rFonts w:ascii="Times New Roman" w:eastAsia="Times New Roman" w:hAnsi="Times New Roman" w:cs="Times New Roman"/>
          <w:b/>
          <w:sz w:val="24"/>
          <w:szCs w:val="24"/>
          <w:lang w:val="en-US" w:eastAsia="bg-BG"/>
        </w:rPr>
        <w:t xml:space="preserve">(4) </w:t>
      </w:r>
      <w:r w:rsidRPr="00215740">
        <w:rPr>
          <w:rFonts w:ascii="Times New Roman" w:eastAsia="Times New Roman" w:hAnsi="Times New Roman" w:cs="Times New Roman"/>
          <w:b/>
          <w:sz w:val="24"/>
          <w:szCs w:val="24"/>
          <w:lang w:eastAsia="bg-BG"/>
        </w:rPr>
        <w:t>от Споразумение № 20ИД-Х19А048/17020/23.07.2020 г. и издадени кредитни известия към „НЕК“ ЕАД</w:t>
      </w:r>
      <w:r w:rsidRPr="00521892">
        <w:rPr>
          <w:rFonts w:ascii="Times New Roman" w:eastAsia="Times New Roman" w:hAnsi="Times New Roman" w:cs="Times New Roman"/>
          <w:b/>
          <w:sz w:val="24"/>
          <w:szCs w:val="24"/>
          <w:lang w:eastAsia="bg-BG"/>
        </w:rPr>
        <w:t xml:space="preserve"> </w:t>
      </w:r>
      <w:r w:rsidR="00610788">
        <w:rPr>
          <w:rFonts w:ascii="Times New Roman" w:eastAsia="Times New Roman" w:hAnsi="Times New Roman" w:cs="Times New Roman"/>
          <w:b/>
          <w:sz w:val="24"/>
          <w:szCs w:val="24"/>
          <w:lang w:eastAsia="bg-BG"/>
        </w:rPr>
        <w:t>–</w:t>
      </w:r>
      <w:r w:rsidRPr="00521892">
        <w:rPr>
          <w:rFonts w:ascii="Times New Roman" w:eastAsia="Times New Roman" w:hAnsi="Times New Roman" w:cs="Times New Roman"/>
          <w:b/>
          <w:sz w:val="24"/>
          <w:szCs w:val="24"/>
          <w:lang w:eastAsia="bg-BG"/>
        </w:rPr>
        <w:t xml:space="preserve"> </w:t>
      </w:r>
      <w:r w:rsidR="00610788">
        <w:rPr>
          <w:rFonts w:ascii="Times New Roman" w:eastAsia="Times New Roman" w:hAnsi="Times New Roman" w:cs="Times New Roman"/>
          <w:b/>
          <w:sz w:val="24"/>
          <w:szCs w:val="24"/>
          <w:lang w:eastAsia="bg-BG"/>
        </w:rPr>
        <w:t>….</w:t>
      </w:r>
      <w:bookmarkStart w:id="0" w:name="_GoBack"/>
      <w:bookmarkEnd w:id="0"/>
      <w:r w:rsidRPr="00521892">
        <w:rPr>
          <w:rFonts w:ascii="Times New Roman" w:eastAsia="Times New Roman" w:hAnsi="Times New Roman" w:cs="Times New Roman"/>
          <w:b/>
          <w:sz w:val="24"/>
          <w:szCs w:val="24"/>
          <w:lang w:eastAsia="bg-BG"/>
        </w:rPr>
        <w:t xml:space="preserve"> </w:t>
      </w:r>
      <w:proofErr w:type="spellStart"/>
      <w:r w:rsidRPr="00521892">
        <w:rPr>
          <w:rFonts w:ascii="Times New Roman" w:eastAsia="Times New Roman" w:hAnsi="Times New Roman" w:cs="Times New Roman"/>
          <w:b/>
          <w:sz w:val="24"/>
          <w:szCs w:val="24"/>
          <w:lang w:eastAsia="bg-BG"/>
        </w:rPr>
        <w:t>хил.лв</w:t>
      </w:r>
      <w:proofErr w:type="spellEnd"/>
      <w:r w:rsidRPr="00521892">
        <w:rPr>
          <w:rFonts w:ascii="Times New Roman" w:eastAsia="Times New Roman" w:hAnsi="Times New Roman" w:cs="Times New Roman"/>
          <w:b/>
          <w:sz w:val="24"/>
          <w:szCs w:val="24"/>
          <w:lang w:eastAsia="bg-BG"/>
        </w:rPr>
        <w:t>.</w:t>
      </w:r>
    </w:p>
    <w:p w14:paraId="0A799151" w14:textId="78D5AD98" w:rsidR="00521892" w:rsidRPr="00521892" w:rsidRDefault="00521892">
      <w:pPr>
        <w:pStyle w:val="ListParagraph"/>
        <w:numPr>
          <w:ilvl w:val="0"/>
          <w:numId w:val="10"/>
        </w:numPr>
        <w:spacing w:after="120" w:line="240" w:lineRule="auto"/>
        <w:jc w:val="both"/>
        <w:rPr>
          <w:rFonts w:ascii="Times New Roman" w:eastAsia="Times New Roman" w:hAnsi="Times New Roman" w:cs="Times New Roman"/>
          <w:b/>
          <w:sz w:val="24"/>
          <w:szCs w:val="24"/>
          <w:lang w:eastAsia="bg-BG"/>
        </w:rPr>
      </w:pPr>
      <w:r w:rsidRPr="00521892">
        <w:rPr>
          <w:rFonts w:ascii="Times New Roman" w:eastAsia="Times New Roman" w:hAnsi="Times New Roman" w:cs="Times New Roman"/>
          <w:b/>
          <w:sz w:val="24"/>
          <w:szCs w:val="24"/>
          <w:lang w:eastAsia="bg-BG"/>
        </w:rPr>
        <w:t xml:space="preserve">Компенсация за активиране на </w:t>
      </w:r>
      <w:r w:rsidRPr="00215740">
        <w:rPr>
          <w:rFonts w:ascii="Times New Roman" w:hAnsi="Times New Roman" w:cs="Times New Roman"/>
          <w:b/>
          <w:sz w:val="24"/>
          <w:szCs w:val="24"/>
        </w:rPr>
        <w:t xml:space="preserve">блок 5 и блок 6 от „ТЕЦ Марица изток 2“ ЕАД за гарантиране сигурността на енергийните доставки в национален мащаб, като Дружеството няма подписан договор с „ЕСО“ ЕАД и не е платена </w:t>
      </w:r>
      <w:proofErr w:type="spellStart"/>
      <w:r w:rsidRPr="00215740">
        <w:rPr>
          <w:rFonts w:ascii="Times New Roman" w:hAnsi="Times New Roman" w:cs="Times New Roman"/>
          <w:b/>
          <w:sz w:val="24"/>
          <w:szCs w:val="24"/>
        </w:rPr>
        <w:t>разполагаемост</w:t>
      </w:r>
      <w:proofErr w:type="spellEnd"/>
      <w:r w:rsidRPr="00215740">
        <w:rPr>
          <w:rFonts w:ascii="Times New Roman" w:hAnsi="Times New Roman" w:cs="Times New Roman"/>
          <w:b/>
          <w:sz w:val="24"/>
          <w:szCs w:val="24"/>
        </w:rPr>
        <w:t xml:space="preserve"> за студен резерв</w:t>
      </w:r>
      <w:r w:rsidRPr="00521892">
        <w:rPr>
          <w:rFonts w:ascii="Times New Roman" w:hAnsi="Times New Roman" w:cs="Times New Roman"/>
          <w:b/>
          <w:bCs/>
          <w:sz w:val="24"/>
          <w:szCs w:val="24"/>
        </w:rPr>
        <w:t xml:space="preserve"> </w:t>
      </w:r>
      <w:r w:rsidR="00475A07">
        <w:rPr>
          <w:rFonts w:ascii="Times New Roman" w:hAnsi="Times New Roman" w:cs="Times New Roman"/>
          <w:b/>
          <w:bCs/>
          <w:sz w:val="24"/>
          <w:szCs w:val="24"/>
        </w:rPr>
        <w:t>-</w:t>
      </w:r>
      <w:r w:rsidRPr="00215740">
        <w:rPr>
          <w:rFonts w:ascii="Times New Roman" w:hAnsi="Times New Roman" w:cs="Times New Roman"/>
          <w:b/>
          <w:sz w:val="24"/>
          <w:szCs w:val="24"/>
        </w:rPr>
        <w:t xml:space="preserve"> </w:t>
      </w:r>
      <w:r w:rsidR="00EC6894">
        <w:rPr>
          <w:rFonts w:ascii="Times New Roman" w:hAnsi="Times New Roman" w:cs="Times New Roman"/>
          <w:b/>
          <w:sz w:val="24"/>
          <w:szCs w:val="24"/>
        </w:rPr>
        <w:t>……..</w:t>
      </w:r>
      <w:r w:rsidR="00EC6894" w:rsidRPr="00215740">
        <w:rPr>
          <w:rFonts w:ascii="Times New Roman" w:hAnsi="Times New Roman" w:cs="Times New Roman"/>
          <w:b/>
          <w:sz w:val="24"/>
          <w:szCs w:val="24"/>
        </w:rPr>
        <w:t xml:space="preserve"> </w:t>
      </w:r>
      <w:proofErr w:type="spellStart"/>
      <w:r w:rsidRPr="00215740">
        <w:rPr>
          <w:rFonts w:ascii="Times New Roman" w:hAnsi="Times New Roman" w:cs="Times New Roman"/>
          <w:b/>
          <w:sz w:val="24"/>
          <w:szCs w:val="24"/>
        </w:rPr>
        <w:t>хил.лв</w:t>
      </w:r>
      <w:proofErr w:type="spellEnd"/>
      <w:r w:rsidRPr="00215740">
        <w:rPr>
          <w:rFonts w:ascii="Times New Roman" w:hAnsi="Times New Roman" w:cs="Times New Roman"/>
          <w:b/>
          <w:sz w:val="24"/>
          <w:szCs w:val="24"/>
        </w:rPr>
        <w:t>.</w:t>
      </w:r>
    </w:p>
    <w:p w14:paraId="4D8E885C" w14:textId="77777777" w:rsidR="0085655B" w:rsidRPr="00B90023" w:rsidRDefault="0085655B" w:rsidP="00F30A94">
      <w:pPr>
        <w:spacing w:after="120" w:line="240" w:lineRule="auto"/>
        <w:jc w:val="both"/>
        <w:rPr>
          <w:rFonts w:ascii="Times New Roman" w:eastAsia="Times New Roman" w:hAnsi="Times New Roman" w:cs="Times New Roman"/>
          <w:b/>
          <w:sz w:val="24"/>
          <w:szCs w:val="24"/>
          <w:lang w:eastAsia="bg-BG"/>
        </w:rPr>
      </w:pPr>
    </w:p>
    <w:p w14:paraId="1985BA3A" w14:textId="77777777" w:rsidR="00B60830" w:rsidRDefault="00B60830" w:rsidP="00441350">
      <w:pPr>
        <w:spacing w:after="0" w:line="240" w:lineRule="auto"/>
        <w:jc w:val="both"/>
        <w:rPr>
          <w:rFonts w:ascii="Times New Roman" w:eastAsia="Times New Roman" w:hAnsi="Times New Roman" w:cs="Times New Roman"/>
          <w:b/>
          <w:sz w:val="24"/>
          <w:szCs w:val="24"/>
          <w:lang w:eastAsia="bg-BG"/>
        </w:rPr>
      </w:pPr>
    </w:p>
    <w:p w14:paraId="433499B0" w14:textId="77777777" w:rsidR="00F16E11" w:rsidRDefault="00F16E11" w:rsidP="00441350">
      <w:pPr>
        <w:spacing w:after="0" w:line="240" w:lineRule="auto"/>
        <w:jc w:val="both"/>
        <w:rPr>
          <w:rFonts w:ascii="Times New Roman" w:eastAsia="Times New Roman" w:hAnsi="Times New Roman" w:cs="Times New Roman"/>
          <w:b/>
          <w:sz w:val="24"/>
          <w:szCs w:val="24"/>
          <w:lang w:eastAsia="bg-BG"/>
        </w:rPr>
      </w:pPr>
    </w:p>
    <w:p w14:paraId="53F8D345" w14:textId="77777777" w:rsidR="00F16E11" w:rsidRDefault="00F16E11" w:rsidP="00441350">
      <w:pPr>
        <w:spacing w:after="0" w:line="240" w:lineRule="auto"/>
        <w:jc w:val="both"/>
        <w:rPr>
          <w:rFonts w:ascii="Times New Roman" w:eastAsia="Times New Roman" w:hAnsi="Times New Roman" w:cs="Times New Roman"/>
          <w:b/>
          <w:sz w:val="24"/>
          <w:szCs w:val="24"/>
          <w:lang w:eastAsia="bg-BG"/>
        </w:rPr>
      </w:pPr>
    </w:p>
    <w:p w14:paraId="0BCDF235" w14:textId="637C89A7" w:rsidR="00F16E11" w:rsidRPr="00F16E11" w:rsidRDefault="00F16E11" w:rsidP="00441350">
      <w:pPr>
        <w:spacing w:after="0" w:line="240" w:lineRule="auto"/>
        <w:jc w:val="both"/>
        <w:rPr>
          <w:rFonts w:ascii="Times New Roman" w:eastAsia="Times New Roman" w:hAnsi="Times New Roman" w:cs="Times New Roman"/>
          <w:b/>
          <w:i/>
          <w:sz w:val="24"/>
          <w:szCs w:val="24"/>
          <w:lang w:eastAsia="bg-BG"/>
        </w:rPr>
      </w:pPr>
      <w:r w:rsidRPr="00F16E11">
        <w:rPr>
          <w:rFonts w:ascii="Times New Roman" w:eastAsia="Times New Roman" w:hAnsi="Times New Roman" w:cs="Times New Roman"/>
          <w:b/>
          <w:i/>
          <w:sz w:val="24"/>
          <w:szCs w:val="24"/>
          <w:lang w:eastAsia="bg-BG"/>
        </w:rPr>
        <w:t>С уважение,</w:t>
      </w:r>
    </w:p>
    <w:p w14:paraId="76D1A38F" w14:textId="77777777" w:rsidR="00F16E11" w:rsidRPr="00F16E11" w:rsidRDefault="00F16E11" w:rsidP="00441350">
      <w:pPr>
        <w:spacing w:after="0" w:line="240" w:lineRule="auto"/>
        <w:jc w:val="both"/>
        <w:rPr>
          <w:rFonts w:ascii="Times New Roman" w:eastAsia="Times New Roman" w:hAnsi="Times New Roman" w:cs="Times New Roman"/>
          <w:b/>
          <w:i/>
          <w:sz w:val="24"/>
          <w:szCs w:val="24"/>
          <w:lang w:eastAsia="bg-BG"/>
        </w:rPr>
      </w:pPr>
    </w:p>
    <w:p w14:paraId="3BB9AA4E" w14:textId="61291A26" w:rsidR="00F16E11" w:rsidRPr="00F16E11" w:rsidRDefault="00F16E11" w:rsidP="00441350">
      <w:pPr>
        <w:spacing w:after="0" w:line="240" w:lineRule="auto"/>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eastAsia="bg-BG"/>
        </w:rPr>
        <w:t>и</w:t>
      </w:r>
      <w:r w:rsidRPr="00F16E11">
        <w:rPr>
          <w:rFonts w:ascii="Times New Roman" w:eastAsia="Times New Roman" w:hAnsi="Times New Roman" w:cs="Times New Roman"/>
          <w:b/>
          <w:i/>
          <w:sz w:val="24"/>
          <w:szCs w:val="24"/>
          <w:lang w:eastAsia="bg-BG"/>
        </w:rPr>
        <w:t>нж.</w:t>
      </w:r>
      <w:r>
        <w:rPr>
          <w:rFonts w:ascii="Times New Roman" w:eastAsia="Times New Roman" w:hAnsi="Times New Roman" w:cs="Times New Roman"/>
          <w:b/>
          <w:i/>
          <w:sz w:val="24"/>
          <w:szCs w:val="24"/>
          <w:lang w:eastAsia="bg-BG"/>
        </w:rPr>
        <w:t xml:space="preserve"> </w:t>
      </w:r>
      <w:r w:rsidRPr="00F16E11">
        <w:rPr>
          <w:rFonts w:ascii="Times New Roman" w:eastAsia="Times New Roman" w:hAnsi="Times New Roman" w:cs="Times New Roman"/>
          <w:b/>
          <w:i/>
          <w:sz w:val="24"/>
          <w:szCs w:val="24"/>
          <w:lang w:eastAsia="bg-BG"/>
        </w:rPr>
        <w:t>Живко Димитров Динчев   -   Изпълнителен Директор</w:t>
      </w:r>
    </w:p>
    <w:sectPr w:rsidR="00F16E11" w:rsidRPr="00F16E1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2939D" w14:textId="77777777" w:rsidR="00991734" w:rsidRDefault="00991734" w:rsidP="009B00EB">
      <w:pPr>
        <w:spacing w:after="0" w:line="240" w:lineRule="auto"/>
      </w:pPr>
      <w:r>
        <w:separator/>
      </w:r>
    </w:p>
  </w:endnote>
  <w:endnote w:type="continuationSeparator" w:id="0">
    <w:p w14:paraId="6550F15A" w14:textId="77777777" w:rsidR="00991734" w:rsidRDefault="00991734" w:rsidP="009B0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Shruti">
    <w:panose1 w:val="020B0502040204020203"/>
    <w:charset w:val="01"/>
    <w:family w:val="roman"/>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AA8D5" w14:textId="77777777" w:rsidR="00991734" w:rsidRDefault="00991734" w:rsidP="009B00EB">
      <w:pPr>
        <w:spacing w:after="0" w:line="240" w:lineRule="auto"/>
      </w:pPr>
      <w:r>
        <w:separator/>
      </w:r>
    </w:p>
  </w:footnote>
  <w:footnote w:type="continuationSeparator" w:id="0">
    <w:p w14:paraId="587636D5" w14:textId="77777777" w:rsidR="00991734" w:rsidRDefault="00991734" w:rsidP="009B00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E8927" w14:textId="77777777" w:rsidR="001C046C" w:rsidRDefault="001C046C">
    <w:pPr>
      <w:pStyle w:val="Header"/>
    </w:pPr>
    <w:r w:rsidRPr="009B00EB">
      <w:rPr>
        <w:rFonts w:ascii="Times New Roman" w:eastAsia="Times New Roman" w:hAnsi="Times New Roman" w:cs="Times New Roman"/>
        <w:noProof/>
        <w:sz w:val="20"/>
        <w:szCs w:val="20"/>
        <w:lang w:eastAsia="bg-BG"/>
      </w:rPr>
      <w:drawing>
        <wp:inline distT="0" distB="0" distL="0" distR="0" wp14:anchorId="486E207D" wp14:editId="43E12D3B">
          <wp:extent cx="5760720" cy="623316"/>
          <wp:effectExtent l="0" t="0" r="0" b="5715"/>
          <wp:docPr id="1" name="Picture 1" descr="TPP2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PP2_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3316"/>
                  </a:xfrm>
                  <a:prstGeom prst="rect">
                    <a:avLst/>
                  </a:prstGeom>
                  <a:noFill/>
                  <a:ln>
                    <a:noFill/>
                  </a:ln>
                </pic:spPr>
              </pic:pic>
            </a:graphicData>
          </a:graphic>
        </wp:inline>
      </w:drawing>
    </w:r>
  </w:p>
  <w:p w14:paraId="37307D69" w14:textId="77777777" w:rsidR="001C046C" w:rsidRDefault="001C04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14D45"/>
    <w:multiLevelType w:val="hybridMultilevel"/>
    <w:tmpl w:val="4D8A26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1F048FC"/>
    <w:multiLevelType w:val="hybridMultilevel"/>
    <w:tmpl w:val="36F4A5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02843EE"/>
    <w:multiLevelType w:val="multilevel"/>
    <w:tmpl w:val="72E42FD0"/>
    <w:lvl w:ilvl="0">
      <w:start w:val="1"/>
      <w:numFmt w:val="decimal"/>
      <w:lvlText w:val="%1."/>
      <w:lvlJc w:val="left"/>
      <w:pPr>
        <w:ind w:left="720" w:hanging="360"/>
      </w:pPr>
      <w:rPr>
        <w:rFonts w:hint="default"/>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5887E9C"/>
    <w:multiLevelType w:val="hybridMultilevel"/>
    <w:tmpl w:val="B63CB65E"/>
    <w:lvl w:ilvl="0" w:tplc="ADE474D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7650B5D"/>
    <w:multiLevelType w:val="hybridMultilevel"/>
    <w:tmpl w:val="7F765C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C685E24"/>
    <w:multiLevelType w:val="hybridMultilevel"/>
    <w:tmpl w:val="A1EAF994"/>
    <w:lvl w:ilvl="0" w:tplc="04020001">
      <w:start w:val="1"/>
      <w:numFmt w:val="bullet"/>
      <w:lvlText w:val=""/>
      <w:lvlJc w:val="left"/>
      <w:pPr>
        <w:tabs>
          <w:tab w:val="num" w:pos="0"/>
        </w:tabs>
        <w:ind w:left="0" w:hanging="360"/>
      </w:pPr>
      <w:rPr>
        <w:rFonts w:ascii="Symbol" w:hAnsi="Symbol" w:hint="default"/>
      </w:rPr>
    </w:lvl>
    <w:lvl w:ilvl="1" w:tplc="53C419B0">
      <w:start w:val="1"/>
      <w:numFmt w:val="decimal"/>
      <w:lvlText w:val="%2."/>
      <w:lvlJc w:val="left"/>
      <w:pPr>
        <w:tabs>
          <w:tab w:val="num" w:pos="720"/>
        </w:tabs>
        <w:ind w:left="720" w:hanging="360"/>
      </w:pPr>
      <w:rPr>
        <w:rFonts w:ascii="Times New Roman" w:eastAsia="Times New Roman" w:hAnsi="Times New Roman" w:cs="Times New Roman"/>
      </w:rPr>
    </w:lvl>
    <w:lvl w:ilvl="2" w:tplc="0402001B">
      <w:start w:val="1"/>
      <w:numFmt w:val="lowerRoman"/>
      <w:lvlText w:val="%3."/>
      <w:lvlJc w:val="right"/>
      <w:pPr>
        <w:tabs>
          <w:tab w:val="num" w:pos="1440"/>
        </w:tabs>
        <w:ind w:left="1440" w:hanging="180"/>
      </w:pPr>
    </w:lvl>
    <w:lvl w:ilvl="3" w:tplc="0402000F" w:tentative="1">
      <w:start w:val="1"/>
      <w:numFmt w:val="decimal"/>
      <w:lvlText w:val="%4."/>
      <w:lvlJc w:val="left"/>
      <w:pPr>
        <w:tabs>
          <w:tab w:val="num" w:pos="2160"/>
        </w:tabs>
        <w:ind w:left="2160" w:hanging="360"/>
      </w:pPr>
    </w:lvl>
    <w:lvl w:ilvl="4" w:tplc="04020019" w:tentative="1">
      <w:start w:val="1"/>
      <w:numFmt w:val="lowerLetter"/>
      <w:lvlText w:val="%5."/>
      <w:lvlJc w:val="left"/>
      <w:pPr>
        <w:tabs>
          <w:tab w:val="num" w:pos="2880"/>
        </w:tabs>
        <w:ind w:left="2880" w:hanging="360"/>
      </w:pPr>
    </w:lvl>
    <w:lvl w:ilvl="5" w:tplc="0402001B" w:tentative="1">
      <w:start w:val="1"/>
      <w:numFmt w:val="lowerRoman"/>
      <w:lvlText w:val="%6."/>
      <w:lvlJc w:val="right"/>
      <w:pPr>
        <w:tabs>
          <w:tab w:val="num" w:pos="3600"/>
        </w:tabs>
        <w:ind w:left="3600" w:hanging="180"/>
      </w:pPr>
    </w:lvl>
    <w:lvl w:ilvl="6" w:tplc="0402000F" w:tentative="1">
      <w:start w:val="1"/>
      <w:numFmt w:val="decimal"/>
      <w:lvlText w:val="%7."/>
      <w:lvlJc w:val="left"/>
      <w:pPr>
        <w:tabs>
          <w:tab w:val="num" w:pos="4320"/>
        </w:tabs>
        <w:ind w:left="4320" w:hanging="360"/>
      </w:pPr>
    </w:lvl>
    <w:lvl w:ilvl="7" w:tplc="04020019" w:tentative="1">
      <w:start w:val="1"/>
      <w:numFmt w:val="lowerLetter"/>
      <w:lvlText w:val="%8."/>
      <w:lvlJc w:val="left"/>
      <w:pPr>
        <w:tabs>
          <w:tab w:val="num" w:pos="5040"/>
        </w:tabs>
        <w:ind w:left="5040" w:hanging="360"/>
      </w:pPr>
    </w:lvl>
    <w:lvl w:ilvl="8" w:tplc="0402001B" w:tentative="1">
      <w:start w:val="1"/>
      <w:numFmt w:val="lowerRoman"/>
      <w:lvlText w:val="%9."/>
      <w:lvlJc w:val="right"/>
      <w:pPr>
        <w:tabs>
          <w:tab w:val="num" w:pos="5760"/>
        </w:tabs>
        <w:ind w:left="5760" w:hanging="180"/>
      </w:pPr>
    </w:lvl>
  </w:abstractNum>
  <w:abstractNum w:abstractNumId="6" w15:restartNumberingAfterBreak="0">
    <w:nsid w:val="30641A59"/>
    <w:multiLevelType w:val="multilevel"/>
    <w:tmpl w:val="200A62E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E05994"/>
    <w:multiLevelType w:val="hybridMultilevel"/>
    <w:tmpl w:val="ADEE22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5367AF9"/>
    <w:multiLevelType w:val="hybridMultilevel"/>
    <w:tmpl w:val="77047AEA"/>
    <w:lvl w:ilvl="0" w:tplc="B316EF7E">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4C270D3"/>
    <w:multiLevelType w:val="hybridMultilevel"/>
    <w:tmpl w:val="336626CA"/>
    <w:lvl w:ilvl="0" w:tplc="04020001">
      <w:start w:val="1"/>
      <w:numFmt w:val="bullet"/>
      <w:lvlText w:val=""/>
      <w:lvlJc w:val="left"/>
      <w:pPr>
        <w:tabs>
          <w:tab w:val="num" w:pos="0"/>
        </w:tabs>
        <w:ind w:left="0" w:hanging="360"/>
      </w:pPr>
      <w:rPr>
        <w:rFonts w:ascii="Symbol" w:hAnsi="Symbol" w:hint="default"/>
      </w:rPr>
    </w:lvl>
    <w:lvl w:ilvl="1" w:tplc="53C419B0">
      <w:start w:val="1"/>
      <w:numFmt w:val="decimal"/>
      <w:lvlText w:val="%2."/>
      <w:lvlJc w:val="left"/>
      <w:pPr>
        <w:tabs>
          <w:tab w:val="num" w:pos="720"/>
        </w:tabs>
        <w:ind w:left="720" w:hanging="360"/>
      </w:pPr>
      <w:rPr>
        <w:rFonts w:ascii="Times New Roman" w:eastAsia="Times New Roman" w:hAnsi="Times New Roman" w:cs="Times New Roman"/>
      </w:rPr>
    </w:lvl>
    <w:lvl w:ilvl="2" w:tplc="0402001B">
      <w:start w:val="1"/>
      <w:numFmt w:val="lowerRoman"/>
      <w:lvlText w:val="%3."/>
      <w:lvlJc w:val="right"/>
      <w:pPr>
        <w:tabs>
          <w:tab w:val="num" w:pos="1440"/>
        </w:tabs>
        <w:ind w:left="1440" w:hanging="180"/>
      </w:pPr>
    </w:lvl>
    <w:lvl w:ilvl="3" w:tplc="0402000F" w:tentative="1">
      <w:start w:val="1"/>
      <w:numFmt w:val="decimal"/>
      <w:lvlText w:val="%4."/>
      <w:lvlJc w:val="left"/>
      <w:pPr>
        <w:tabs>
          <w:tab w:val="num" w:pos="2160"/>
        </w:tabs>
        <w:ind w:left="2160" w:hanging="360"/>
      </w:pPr>
    </w:lvl>
    <w:lvl w:ilvl="4" w:tplc="04020019" w:tentative="1">
      <w:start w:val="1"/>
      <w:numFmt w:val="lowerLetter"/>
      <w:lvlText w:val="%5."/>
      <w:lvlJc w:val="left"/>
      <w:pPr>
        <w:tabs>
          <w:tab w:val="num" w:pos="2880"/>
        </w:tabs>
        <w:ind w:left="2880" w:hanging="360"/>
      </w:pPr>
    </w:lvl>
    <w:lvl w:ilvl="5" w:tplc="0402001B" w:tentative="1">
      <w:start w:val="1"/>
      <w:numFmt w:val="lowerRoman"/>
      <w:lvlText w:val="%6."/>
      <w:lvlJc w:val="right"/>
      <w:pPr>
        <w:tabs>
          <w:tab w:val="num" w:pos="3600"/>
        </w:tabs>
        <w:ind w:left="3600" w:hanging="180"/>
      </w:pPr>
    </w:lvl>
    <w:lvl w:ilvl="6" w:tplc="0402000F" w:tentative="1">
      <w:start w:val="1"/>
      <w:numFmt w:val="decimal"/>
      <w:lvlText w:val="%7."/>
      <w:lvlJc w:val="left"/>
      <w:pPr>
        <w:tabs>
          <w:tab w:val="num" w:pos="4320"/>
        </w:tabs>
        <w:ind w:left="4320" w:hanging="360"/>
      </w:pPr>
    </w:lvl>
    <w:lvl w:ilvl="7" w:tplc="04020019" w:tentative="1">
      <w:start w:val="1"/>
      <w:numFmt w:val="lowerLetter"/>
      <w:lvlText w:val="%8."/>
      <w:lvlJc w:val="left"/>
      <w:pPr>
        <w:tabs>
          <w:tab w:val="num" w:pos="5040"/>
        </w:tabs>
        <w:ind w:left="5040" w:hanging="360"/>
      </w:pPr>
    </w:lvl>
    <w:lvl w:ilvl="8" w:tplc="0402001B" w:tentative="1">
      <w:start w:val="1"/>
      <w:numFmt w:val="lowerRoman"/>
      <w:lvlText w:val="%9."/>
      <w:lvlJc w:val="right"/>
      <w:pPr>
        <w:tabs>
          <w:tab w:val="num" w:pos="5760"/>
        </w:tabs>
        <w:ind w:left="5760" w:hanging="180"/>
      </w:pPr>
    </w:lvl>
  </w:abstractNum>
  <w:abstractNum w:abstractNumId="10" w15:restartNumberingAfterBreak="0">
    <w:nsid w:val="55EE4762"/>
    <w:multiLevelType w:val="multilevel"/>
    <w:tmpl w:val="A4D61D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5E356D9B"/>
    <w:multiLevelType w:val="multilevel"/>
    <w:tmpl w:val="6DAE4990"/>
    <w:lvl w:ilvl="0">
      <w:start w:val="1"/>
      <w:numFmt w:val="upperRoman"/>
      <w:lvlText w:val="%1."/>
      <w:lvlJc w:val="left"/>
      <w:pPr>
        <w:ind w:left="72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2" w15:restartNumberingAfterBreak="0">
    <w:nsid w:val="6458481B"/>
    <w:multiLevelType w:val="hybridMultilevel"/>
    <w:tmpl w:val="5D1EA2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0CD3160"/>
    <w:multiLevelType w:val="multilevel"/>
    <w:tmpl w:val="77AEC14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1"/>
  </w:num>
  <w:num w:numId="3">
    <w:abstractNumId w:val="2"/>
  </w:num>
  <w:num w:numId="4">
    <w:abstractNumId w:val="8"/>
  </w:num>
  <w:num w:numId="5">
    <w:abstractNumId w:val="6"/>
  </w:num>
  <w:num w:numId="6">
    <w:abstractNumId w:val="10"/>
  </w:num>
  <w:num w:numId="7">
    <w:abstractNumId w:val="12"/>
  </w:num>
  <w:num w:numId="8">
    <w:abstractNumId w:val="9"/>
  </w:num>
  <w:num w:numId="9">
    <w:abstractNumId w:val="5"/>
  </w:num>
  <w:num w:numId="10">
    <w:abstractNumId w:val="0"/>
  </w:num>
  <w:num w:numId="11">
    <w:abstractNumId w:val="7"/>
  </w:num>
  <w:num w:numId="12">
    <w:abstractNumId w:val="3"/>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0EB"/>
    <w:rsid w:val="00002905"/>
    <w:rsid w:val="00014DD2"/>
    <w:rsid w:val="000220ED"/>
    <w:rsid w:val="00030812"/>
    <w:rsid w:val="00032C70"/>
    <w:rsid w:val="000447AD"/>
    <w:rsid w:val="00044807"/>
    <w:rsid w:val="00045B59"/>
    <w:rsid w:val="00053B27"/>
    <w:rsid w:val="00056B12"/>
    <w:rsid w:val="0006500E"/>
    <w:rsid w:val="00084410"/>
    <w:rsid w:val="00091684"/>
    <w:rsid w:val="00095DFB"/>
    <w:rsid w:val="000B1073"/>
    <w:rsid w:val="000B7326"/>
    <w:rsid w:val="000C336E"/>
    <w:rsid w:val="000D1685"/>
    <w:rsid w:val="000E2BCF"/>
    <w:rsid w:val="000F36FF"/>
    <w:rsid w:val="00117E9E"/>
    <w:rsid w:val="00117FFE"/>
    <w:rsid w:val="001365A2"/>
    <w:rsid w:val="00171DCF"/>
    <w:rsid w:val="001861FF"/>
    <w:rsid w:val="00187C85"/>
    <w:rsid w:val="00191FDD"/>
    <w:rsid w:val="00193A4A"/>
    <w:rsid w:val="001971F4"/>
    <w:rsid w:val="001C046C"/>
    <w:rsid w:val="001D49C1"/>
    <w:rsid w:val="001F2B7D"/>
    <w:rsid w:val="0021492E"/>
    <w:rsid w:val="00215606"/>
    <w:rsid w:val="00215740"/>
    <w:rsid w:val="0023124B"/>
    <w:rsid w:val="00232953"/>
    <w:rsid w:val="00236C9F"/>
    <w:rsid w:val="00257C90"/>
    <w:rsid w:val="00286DC0"/>
    <w:rsid w:val="0028766F"/>
    <w:rsid w:val="002C415C"/>
    <w:rsid w:val="002E4B29"/>
    <w:rsid w:val="002F1187"/>
    <w:rsid w:val="002F3A85"/>
    <w:rsid w:val="00311CE8"/>
    <w:rsid w:val="0031208D"/>
    <w:rsid w:val="00315541"/>
    <w:rsid w:val="00323764"/>
    <w:rsid w:val="003360F1"/>
    <w:rsid w:val="00341063"/>
    <w:rsid w:val="00343928"/>
    <w:rsid w:val="00345B55"/>
    <w:rsid w:val="00350D96"/>
    <w:rsid w:val="00362960"/>
    <w:rsid w:val="00370CEB"/>
    <w:rsid w:val="003813D2"/>
    <w:rsid w:val="00382742"/>
    <w:rsid w:val="00393BED"/>
    <w:rsid w:val="003A56CC"/>
    <w:rsid w:val="003A6E54"/>
    <w:rsid w:val="003B057C"/>
    <w:rsid w:val="003B14A6"/>
    <w:rsid w:val="003B35DD"/>
    <w:rsid w:val="003D1420"/>
    <w:rsid w:val="003E7060"/>
    <w:rsid w:val="003F5611"/>
    <w:rsid w:val="00402FF8"/>
    <w:rsid w:val="00416163"/>
    <w:rsid w:val="00417ACD"/>
    <w:rsid w:val="004339FD"/>
    <w:rsid w:val="00441350"/>
    <w:rsid w:val="004521F2"/>
    <w:rsid w:val="0047547E"/>
    <w:rsid w:val="00475A07"/>
    <w:rsid w:val="00493CBA"/>
    <w:rsid w:val="0049523A"/>
    <w:rsid w:val="004A4AD1"/>
    <w:rsid w:val="004D7150"/>
    <w:rsid w:val="004E57FD"/>
    <w:rsid w:val="004F060A"/>
    <w:rsid w:val="004F4233"/>
    <w:rsid w:val="00502A69"/>
    <w:rsid w:val="00505696"/>
    <w:rsid w:val="00513B0C"/>
    <w:rsid w:val="0051658F"/>
    <w:rsid w:val="00520AA2"/>
    <w:rsid w:val="00521892"/>
    <w:rsid w:val="00540F3A"/>
    <w:rsid w:val="00547420"/>
    <w:rsid w:val="00552AB7"/>
    <w:rsid w:val="00557112"/>
    <w:rsid w:val="00557928"/>
    <w:rsid w:val="005623EA"/>
    <w:rsid w:val="00574D8D"/>
    <w:rsid w:val="00576BA3"/>
    <w:rsid w:val="005850D3"/>
    <w:rsid w:val="00592068"/>
    <w:rsid w:val="005B5BC0"/>
    <w:rsid w:val="005F0563"/>
    <w:rsid w:val="00600AC9"/>
    <w:rsid w:val="0060718E"/>
    <w:rsid w:val="00610788"/>
    <w:rsid w:val="00610D9D"/>
    <w:rsid w:val="00613D5D"/>
    <w:rsid w:val="006161EF"/>
    <w:rsid w:val="006249F3"/>
    <w:rsid w:val="00634ACD"/>
    <w:rsid w:val="00641066"/>
    <w:rsid w:val="00643631"/>
    <w:rsid w:val="00692FDE"/>
    <w:rsid w:val="00695285"/>
    <w:rsid w:val="0069714B"/>
    <w:rsid w:val="006A4931"/>
    <w:rsid w:val="006B0F18"/>
    <w:rsid w:val="006B1184"/>
    <w:rsid w:val="006B2DC4"/>
    <w:rsid w:val="006C1750"/>
    <w:rsid w:val="006D55D3"/>
    <w:rsid w:val="006F1F02"/>
    <w:rsid w:val="00707B1F"/>
    <w:rsid w:val="00711CD3"/>
    <w:rsid w:val="00712AD1"/>
    <w:rsid w:val="007547B0"/>
    <w:rsid w:val="00765B50"/>
    <w:rsid w:val="00790B4E"/>
    <w:rsid w:val="0079117B"/>
    <w:rsid w:val="007962E3"/>
    <w:rsid w:val="007B67B1"/>
    <w:rsid w:val="008116F0"/>
    <w:rsid w:val="00822A5F"/>
    <w:rsid w:val="00822EB1"/>
    <w:rsid w:val="00830DEF"/>
    <w:rsid w:val="0084275F"/>
    <w:rsid w:val="0085655B"/>
    <w:rsid w:val="0086466D"/>
    <w:rsid w:val="00865CD8"/>
    <w:rsid w:val="008714A2"/>
    <w:rsid w:val="008772D6"/>
    <w:rsid w:val="008824B9"/>
    <w:rsid w:val="00887176"/>
    <w:rsid w:val="008976A6"/>
    <w:rsid w:val="008A7B46"/>
    <w:rsid w:val="008B25F8"/>
    <w:rsid w:val="008B3BDA"/>
    <w:rsid w:val="008C4E67"/>
    <w:rsid w:val="008D0AF7"/>
    <w:rsid w:val="008F2E7C"/>
    <w:rsid w:val="008F754F"/>
    <w:rsid w:val="00902834"/>
    <w:rsid w:val="0091284A"/>
    <w:rsid w:val="009445FB"/>
    <w:rsid w:val="00984854"/>
    <w:rsid w:val="00991734"/>
    <w:rsid w:val="00993F4C"/>
    <w:rsid w:val="009B00EB"/>
    <w:rsid w:val="009F0647"/>
    <w:rsid w:val="009F06F4"/>
    <w:rsid w:val="009F1C0A"/>
    <w:rsid w:val="00A15DE9"/>
    <w:rsid w:val="00A24069"/>
    <w:rsid w:val="00A32B9A"/>
    <w:rsid w:val="00A36DA4"/>
    <w:rsid w:val="00A44CBA"/>
    <w:rsid w:val="00A67F00"/>
    <w:rsid w:val="00A7473D"/>
    <w:rsid w:val="00A96028"/>
    <w:rsid w:val="00AA263B"/>
    <w:rsid w:val="00AA6AA4"/>
    <w:rsid w:val="00AB4C5A"/>
    <w:rsid w:val="00AB5E7C"/>
    <w:rsid w:val="00AD0A18"/>
    <w:rsid w:val="00AE63EC"/>
    <w:rsid w:val="00AF2777"/>
    <w:rsid w:val="00B03B45"/>
    <w:rsid w:val="00B059D5"/>
    <w:rsid w:val="00B20DD9"/>
    <w:rsid w:val="00B23C94"/>
    <w:rsid w:val="00B252A5"/>
    <w:rsid w:val="00B26AC1"/>
    <w:rsid w:val="00B35157"/>
    <w:rsid w:val="00B51E6A"/>
    <w:rsid w:val="00B5447C"/>
    <w:rsid w:val="00B573EC"/>
    <w:rsid w:val="00B60830"/>
    <w:rsid w:val="00B6448A"/>
    <w:rsid w:val="00B66FA3"/>
    <w:rsid w:val="00B90023"/>
    <w:rsid w:val="00B919F6"/>
    <w:rsid w:val="00B96F56"/>
    <w:rsid w:val="00BA6E63"/>
    <w:rsid w:val="00BF5E9A"/>
    <w:rsid w:val="00BF6AF3"/>
    <w:rsid w:val="00C127EF"/>
    <w:rsid w:val="00C33CCC"/>
    <w:rsid w:val="00C36AAC"/>
    <w:rsid w:val="00C564F2"/>
    <w:rsid w:val="00C720A9"/>
    <w:rsid w:val="00CA022C"/>
    <w:rsid w:val="00CC03CF"/>
    <w:rsid w:val="00CD0646"/>
    <w:rsid w:val="00CD2195"/>
    <w:rsid w:val="00CF7E24"/>
    <w:rsid w:val="00D06919"/>
    <w:rsid w:val="00D154B3"/>
    <w:rsid w:val="00D1678F"/>
    <w:rsid w:val="00D20C05"/>
    <w:rsid w:val="00D20C65"/>
    <w:rsid w:val="00D27B37"/>
    <w:rsid w:val="00D30016"/>
    <w:rsid w:val="00D371EF"/>
    <w:rsid w:val="00D53243"/>
    <w:rsid w:val="00D615A6"/>
    <w:rsid w:val="00D639CB"/>
    <w:rsid w:val="00D71840"/>
    <w:rsid w:val="00D73756"/>
    <w:rsid w:val="00D86FD8"/>
    <w:rsid w:val="00D954EC"/>
    <w:rsid w:val="00DB7E5B"/>
    <w:rsid w:val="00DF661A"/>
    <w:rsid w:val="00DF73D7"/>
    <w:rsid w:val="00E170FD"/>
    <w:rsid w:val="00E1718B"/>
    <w:rsid w:val="00E30AC6"/>
    <w:rsid w:val="00E41EF9"/>
    <w:rsid w:val="00E552AD"/>
    <w:rsid w:val="00E90B83"/>
    <w:rsid w:val="00E9783B"/>
    <w:rsid w:val="00EC6894"/>
    <w:rsid w:val="00EE39B0"/>
    <w:rsid w:val="00F006F5"/>
    <w:rsid w:val="00F048EE"/>
    <w:rsid w:val="00F05E29"/>
    <w:rsid w:val="00F1010C"/>
    <w:rsid w:val="00F11CD0"/>
    <w:rsid w:val="00F16E11"/>
    <w:rsid w:val="00F21667"/>
    <w:rsid w:val="00F25212"/>
    <w:rsid w:val="00F30A94"/>
    <w:rsid w:val="00F574DF"/>
    <w:rsid w:val="00F67D59"/>
    <w:rsid w:val="00F7501E"/>
    <w:rsid w:val="00F8003E"/>
    <w:rsid w:val="00F842CA"/>
    <w:rsid w:val="00F84C2A"/>
    <w:rsid w:val="00F953E8"/>
    <w:rsid w:val="00FB3F16"/>
    <w:rsid w:val="00FC73A1"/>
    <w:rsid w:val="00FD4FE4"/>
    <w:rsid w:val="00FD7426"/>
    <w:rsid w:val="00FE7C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E8DE2"/>
  <w15:chartTrackingRefBased/>
  <w15:docId w15:val="{872AD9CC-5B21-4E9D-82C6-536FD2E6E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0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0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0EB"/>
  </w:style>
  <w:style w:type="paragraph" w:styleId="Footer">
    <w:name w:val="footer"/>
    <w:basedOn w:val="Normal"/>
    <w:link w:val="FooterChar"/>
    <w:uiPriority w:val="99"/>
    <w:unhideWhenUsed/>
    <w:rsid w:val="009B00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0EB"/>
  </w:style>
  <w:style w:type="paragraph" w:styleId="ListParagraph">
    <w:name w:val="List Paragraph"/>
    <w:basedOn w:val="Normal"/>
    <w:uiPriority w:val="34"/>
    <w:qFormat/>
    <w:rsid w:val="00F84C2A"/>
    <w:pPr>
      <w:ind w:left="720"/>
      <w:contextualSpacing/>
    </w:pPr>
  </w:style>
  <w:style w:type="table" w:styleId="TableGrid">
    <w:name w:val="Table Grid"/>
    <w:basedOn w:val="TableNormal"/>
    <w:uiPriority w:val="59"/>
    <w:rsid w:val="00692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F05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563"/>
    <w:rPr>
      <w:sz w:val="20"/>
      <w:szCs w:val="20"/>
    </w:rPr>
  </w:style>
  <w:style w:type="character" w:styleId="FootnoteReference">
    <w:name w:val="footnote reference"/>
    <w:basedOn w:val="DefaultParagraphFont"/>
    <w:uiPriority w:val="99"/>
    <w:semiHidden/>
    <w:unhideWhenUsed/>
    <w:rsid w:val="005F0563"/>
    <w:rPr>
      <w:vertAlign w:val="superscript"/>
    </w:rPr>
  </w:style>
  <w:style w:type="character" w:styleId="CommentReference">
    <w:name w:val="annotation reference"/>
    <w:basedOn w:val="DefaultParagraphFont"/>
    <w:uiPriority w:val="99"/>
    <w:semiHidden/>
    <w:unhideWhenUsed/>
    <w:rsid w:val="002E4B29"/>
    <w:rPr>
      <w:sz w:val="16"/>
      <w:szCs w:val="16"/>
    </w:rPr>
  </w:style>
  <w:style w:type="paragraph" w:styleId="CommentText">
    <w:name w:val="annotation text"/>
    <w:basedOn w:val="Normal"/>
    <w:link w:val="CommentTextChar"/>
    <w:uiPriority w:val="99"/>
    <w:semiHidden/>
    <w:unhideWhenUsed/>
    <w:rsid w:val="002E4B29"/>
    <w:pPr>
      <w:spacing w:line="240" w:lineRule="auto"/>
    </w:pPr>
    <w:rPr>
      <w:sz w:val="20"/>
      <w:szCs w:val="20"/>
    </w:rPr>
  </w:style>
  <w:style w:type="character" w:customStyle="1" w:styleId="CommentTextChar">
    <w:name w:val="Comment Text Char"/>
    <w:basedOn w:val="DefaultParagraphFont"/>
    <w:link w:val="CommentText"/>
    <w:uiPriority w:val="99"/>
    <w:semiHidden/>
    <w:rsid w:val="002E4B29"/>
    <w:rPr>
      <w:sz w:val="20"/>
      <w:szCs w:val="20"/>
    </w:rPr>
  </w:style>
  <w:style w:type="paragraph" w:styleId="CommentSubject">
    <w:name w:val="annotation subject"/>
    <w:basedOn w:val="CommentText"/>
    <w:next w:val="CommentText"/>
    <w:link w:val="CommentSubjectChar"/>
    <w:uiPriority w:val="99"/>
    <w:semiHidden/>
    <w:unhideWhenUsed/>
    <w:rsid w:val="002E4B29"/>
    <w:rPr>
      <w:b/>
      <w:bCs/>
    </w:rPr>
  </w:style>
  <w:style w:type="character" w:customStyle="1" w:styleId="CommentSubjectChar">
    <w:name w:val="Comment Subject Char"/>
    <w:basedOn w:val="CommentTextChar"/>
    <w:link w:val="CommentSubject"/>
    <w:uiPriority w:val="99"/>
    <w:semiHidden/>
    <w:rsid w:val="002E4B29"/>
    <w:rPr>
      <w:b/>
      <w:bCs/>
      <w:sz w:val="20"/>
      <w:szCs w:val="20"/>
    </w:rPr>
  </w:style>
  <w:style w:type="paragraph" w:styleId="BalloonText">
    <w:name w:val="Balloon Text"/>
    <w:basedOn w:val="Normal"/>
    <w:link w:val="BalloonTextChar"/>
    <w:uiPriority w:val="99"/>
    <w:semiHidden/>
    <w:unhideWhenUsed/>
    <w:rsid w:val="00117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E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47959">
      <w:bodyDiv w:val="1"/>
      <w:marLeft w:val="0"/>
      <w:marRight w:val="0"/>
      <w:marTop w:val="0"/>
      <w:marBottom w:val="0"/>
      <w:divBdr>
        <w:top w:val="none" w:sz="0" w:space="0" w:color="auto"/>
        <w:left w:val="none" w:sz="0" w:space="0" w:color="auto"/>
        <w:bottom w:val="none" w:sz="0" w:space="0" w:color="auto"/>
        <w:right w:val="none" w:sz="0" w:space="0" w:color="auto"/>
      </w:divBdr>
    </w:div>
    <w:div w:id="181014340">
      <w:bodyDiv w:val="1"/>
      <w:marLeft w:val="0"/>
      <w:marRight w:val="0"/>
      <w:marTop w:val="0"/>
      <w:marBottom w:val="0"/>
      <w:divBdr>
        <w:top w:val="none" w:sz="0" w:space="0" w:color="auto"/>
        <w:left w:val="none" w:sz="0" w:space="0" w:color="auto"/>
        <w:bottom w:val="none" w:sz="0" w:space="0" w:color="auto"/>
        <w:right w:val="none" w:sz="0" w:space="0" w:color="auto"/>
      </w:divBdr>
    </w:div>
    <w:div w:id="550504591">
      <w:bodyDiv w:val="1"/>
      <w:marLeft w:val="0"/>
      <w:marRight w:val="0"/>
      <w:marTop w:val="0"/>
      <w:marBottom w:val="0"/>
      <w:divBdr>
        <w:top w:val="none" w:sz="0" w:space="0" w:color="auto"/>
        <w:left w:val="none" w:sz="0" w:space="0" w:color="auto"/>
        <w:bottom w:val="none" w:sz="0" w:space="0" w:color="auto"/>
        <w:right w:val="none" w:sz="0" w:space="0" w:color="auto"/>
      </w:divBdr>
    </w:div>
    <w:div w:id="627127787">
      <w:bodyDiv w:val="1"/>
      <w:marLeft w:val="0"/>
      <w:marRight w:val="0"/>
      <w:marTop w:val="0"/>
      <w:marBottom w:val="0"/>
      <w:divBdr>
        <w:top w:val="none" w:sz="0" w:space="0" w:color="auto"/>
        <w:left w:val="none" w:sz="0" w:space="0" w:color="auto"/>
        <w:bottom w:val="none" w:sz="0" w:space="0" w:color="auto"/>
        <w:right w:val="none" w:sz="0" w:space="0" w:color="auto"/>
      </w:divBdr>
    </w:div>
    <w:div w:id="998921849">
      <w:bodyDiv w:val="1"/>
      <w:marLeft w:val="0"/>
      <w:marRight w:val="0"/>
      <w:marTop w:val="0"/>
      <w:marBottom w:val="0"/>
      <w:divBdr>
        <w:top w:val="none" w:sz="0" w:space="0" w:color="auto"/>
        <w:left w:val="none" w:sz="0" w:space="0" w:color="auto"/>
        <w:bottom w:val="none" w:sz="0" w:space="0" w:color="auto"/>
        <w:right w:val="none" w:sz="0" w:space="0" w:color="auto"/>
      </w:divBdr>
    </w:div>
    <w:div w:id="1476413097">
      <w:bodyDiv w:val="1"/>
      <w:marLeft w:val="0"/>
      <w:marRight w:val="0"/>
      <w:marTop w:val="0"/>
      <w:marBottom w:val="0"/>
      <w:divBdr>
        <w:top w:val="none" w:sz="0" w:space="0" w:color="auto"/>
        <w:left w:val="none" w:sz="0" w:space="0" w:color="auto"/>
        <w:bottom w:val="none" w:sz="0" w:space="0" w:color="auto"/>
        <w:right w:val="none" w:sz="0" w:space="0" w:color="auto"/>
      </w:divBdr>
    </w:div>
    <w:div w:id="1760829629">
      <w:bodyDiv w:val="1"/>
      <w:marLeft w:val="0"/>
      <w:marRight w:val="0"/>
      <w:marTop w:val="0"/>
      <w:marBottom w:val="0"/>
      <w:divBdr>
        <w:top w:val="none" w:sz="0" w:space="0" w:color="auto"/>
        <w:left w:val="none" w:sz="0" w:space="0" w:color="auto"/>
        <w:bottom w:val="none" w:sz="0" w:space="0" w:color="auto"/>
        <w:right w:val="none" w:sz="0" w:space="0" w:color="auto"/>
      </w:divBdr>
    </w:div>
    <w:div w:id="1796411796">
      <w:bodyDiv w:val="1"/>
      <w:marLeft w:val="0"/>
      <w:marRight w:val="0"/>
      <w:marTop w:val="0"/>
      <w:marBottom w:val="0"/>
      <w:divBdr>
        <w:top w:val="none" w:sz="0" w:space="0" w:color="auto"/>
        <w:left w:val="none" w:sz="0" w:space="0" w:color="auto"/>
        <w:bottom w:val="none" w:sz="0" w:space="0" w:color="auto"/>
        <w:right w:val="none" w:sz="0" w:space="0" w:color="auto"/>
      </w:divBdr>
    </w:div>
    <w:div w:id="1834293231">
      <w:bodyDiv w:val="1"/>
      <w:marLeft w:val="0"/>
      <w:marRight w:val="0"/>
      <w:marTop w:val="0"/>
      <w:marBottom w:val="0"/>
      <w:divBdr>
        <w:top w:val="none" w:sz="0" w:space="0" w:color="auto"/>
        <w:left w:val="none" w:sz="0" w:space="0" w:color="auto"/>
        <w:bottom w:val="none" w:sz="0" w:space="0" w:color="auto"/>
        <w:right w:val="none" w:sz="0" w:space="0" w:color="auto"/>
      </w:divBdr>
    </w:div>
    <w:div w:id="1909027712">
      <w:bodyDiv w:val="1"/>
      <w:marLeft w:val="0"/>
      <w:marRight w:val="0"/>
      <w:marTop w:val="0"/>
      <w:marBottom w:val="0"/>
      <w:divBdr>
        <w:top w:val="none" w:sz="0" w:space="0" w:color="auto"/>
        <w:left w:val="none" w:sz="0" w:space="0" w:color="auto"/>
        <w:bottom w:val="none" w:sz="0" w:space="0" w:color="auto"/>
        <w:right w:val="none" w:sz="0" w:space="0" w:color="auto"/>
      </w:divBdr>
    </w:div>
    <w:div w:id="1961648017">
      <w:bodyDiv w:val="1"/>
      <w:marLeft w:val="0"/>
      <w:marRight w:val="0"/>
      <w:marTop w:val="0"/>
      <w:marBottom w:val="0"/>
      <w:divBdr>
        <w:top w:val="none" w:sz="0" w:space="0" w:color="auto"/>
        <w:left w:val="none" w:sz="0" w:space="0" w:color="auto"/>
        <w:bottom w:val="none" w:sz="0" w:space="0" w:color="auto"/>
        <w:right w:val="none" w:sz="0" w:space="0" w:color="auto"/>
      </w:divBdr>
    </w:div>
    <w:div w:id="1973976111">
      <w:bodyDiv w:val="1"/>
      <w:marLeft w:val="0"/>
      <w:marRight w:val="0"/>
      <w:marTop w:val="0"/>
      <w:marBottom w:val="0"/>
      <w:divBdr>
        <w:top w:val="none" w:sz="0" w:space="0" w:color="auto"/>
        <w:left w:val="none" w:sz="0" w:space="0" w:color="auto"/>
        <w:bottom w:val="none" w:sz="0" w:space="0" w:color="auto"/>
        <w:right w:val="none" w:sz="0" w:space="0" w:color="auto"/>
      </w:divBdr>
    </w:div>
    <w:div w:id="1981809458">
      <w:bodyDiv w:val="1"/>
      <w:marLeft w:val="0"/>
      <w:marRight w:val="0"/>
      <w:marTop w:val="0"/>
      <w:marBottom w:val="0"/>
      <w:divBdr>
        <w:top w:val="none" w:sz="0" w:space="0" w:color="auto"/>
        <w:left w:val="none" w:sz="0" w:space="0" w:color="auto"/>
        <w:bottom w:val="none" w:sz="0" w:space="0" w:color="auto"/>
        <w:right w:val="none" w:sz="0" w:space="0" w:color="auto"/>
      </w:divBdr>
    </w:div>
    <w:div w:id="208668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2@tpp2.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89929-2672-4C4F-A6DF-B950A500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2308</TotalTime>
  <Pages>26</Pages>
  <Words>10737</Words>
  <Characters>61203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Dilyana Sabeva</cp:lastModifiedBy>
  <cp:revision>137</cp:revision>
  <dcterms:created xsi:type="dcterms:W3CDTF">2021-03-26T08:49:00Z</dcterms:created>
  <dcterms:modified xsi:type="dcterms:W3CDTF">2021-04-23T06:38:00Z</dcterms:modified>
</cp:coreProperties>
</file>